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7199421"/>
        <w:docPartObj>
          <w:docPartGallery w:val="Cover Pages"/>
          <w:docPartUnique/>
        </w:docPartObj>
      </w:sdtPr>
      <w:sdtEndPr>
        <w:rPr>
          <w:rFonts w:asciiTheme="minorHAnsi" w:hAnsiTheme="minorHAnsi"/>
        </w:rPr>
      </w:sdtEndPr>
      <w:sdtContent>
        <w:p w14:paraId="6130F1EA" w14:textId="77777777" w:rsidR="001B18BB" w:rsidRDefault="001B18BB">
          <w:r>
            <w:rPr>
              <w:noProof/>
            </w:rPr>
            <mc:AlternateContent>
              <mc:Choice Requires="wps">
                <w:drawing>
                  <wp:anchor distT="0" distB="0" distL="114300" distR="114300" simplePos="0" relativeHeight="251658240" behindDoc="0" locked="0" layoutInCell="0" allowOverlap="1" wp14:anchorId="6130F578" wp14:editId="6130F579">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p w14:paraId="6130F5F6" w14:textId="2C33A477" w:rsidR="006503A9" w:rsidRDefault="00AD03A8" w:rsidP="00AD03A8">
                                <w:pPr>
                                  <w:pStyle w:val="NoSpacing"/>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6503A9">
                                      <w:rPr>
                                        <w:rFonts w:asciiTheme="majorHAnsi" w:eastAsiaTheme="majorEastAsia" w:hAnsiTheme="majorHAnsi" w:cstheme="majorBidi"/>
                                        <w:color w:val="FFFFFF" w:themeColor="background1"/>
                                        <w:sz w:val="72"/>
                                        <w:szCs w:val="72"/>
                                      </w:rPr>
                                      <w:t xml:space="preserve">Valdosta </w:t>
                                    </w:r>
                                    <w:r>
                                      <w:rPr>
                                        <w:rFonts w:asciiTheme="majorHAnsi" w:eastAsiaTheme="majorEastAsia" w:hAnsiTheme="majorHAnsi" w:cstheme="majorBidi"/>
                                        <w:color w:val="FFFFFF" w:themeColor="background1"/>
                                        <w:sz w:val="72"/>
                                        <w:szCs w:val="72"/>
                                      </w:rPr>
                                      <w:t xml:space="preserve">Urbanized Area Transit </w:t>
                                    </w:r>
                                    <w:r w:rsidR="006503A9">
                                      <w:rPr>
                                        <w:rFonts w:asciiTheme="majorHAnsi" w:eastAsiaTheme="majorEastAsia" w:hAnsiTheme="majorHAnsi" w:cstheme="majorBidi"/>
                                        <w:color w:val="FFFFFF" w:themeColor="background1"/>
                                        <w:sz w:val="72"/>
                                        <w:szCs w:val="72"/>
                                      </w:rPr>
                                      <w:t>Implementation</w:t>
                                    </w:r>
                                  </w:sdtContent>
                                </w:sdt>
                                <w:r>
                                  <w:rPr>
                                    <w:rFonts w:asciiTheme="majorHAnsi" w:eastAsiaTheme="majorEastAsia" w:hAnsiTheme="majorHAnsi" w:cstheme="majorBidi"/>
                                    <w:color w:val="FFFFFF" w:themeColor="background1"/>
                                    <w:sz w:val="72"/>
                                    <w:szCs w:val="72"/>
                                  </w:rPr>
                                  <w:t xml:space="preserve"> Report</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130F578" id="Rectangle 16" o:spid="_x0000_s1026" style="position:absolute;margin-left:0;margin-top:0;width:550.8pt;height:50.4pt;z-index:25165824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p w14:paraId="6130F5F6" w14:textId="2C33A477" w:rsidR="006503A9" w:rsidRDefault="00AD03A8" w:rsidP="00AD03A8">
                          <w:pPr>
                            <w:pStyle w:val="NoSpacing"/>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6503A9">
                                <w:rPr>
                                  <w:rFonts w:asciiTheme="majorHAnsi" w:eastAsiaTheme="majorEastAsia" w:hAnsiTheme="majorHAnsi" w:cstheme="majorBidi"/>
                                  <w:color w:val="FFFFFF" w:themeColor="background1"/>
                                  <w:sz w:val="72"/>
                                  <w:szCs w:val="72"/>
                                </w:rPr>
                                <w:t xml:space="preserve">Valdosta </w:t>
                              </w:r>
                              <w:r>
                                <w:rPr>
                                  <w:rFonts w:asciiTheme="majorHAnsi" w:eastAsiaTheme="majorEastAsia" w:hAnsiTheme="majorHAnsi" w:cstheme="majorBidi"/>
                                  <w:color w:val="FFFFFF" w:themeColor="background1"/>
                                  <w:sz w:val="72"/>
                                  <w:szCs w:val="72"/>
                                </w:rPr>
                                <w:t xml:space="preserve">Urbanized Area Transit </w:t>
                              </w:r>
                              <w:r w:rsidR="006503A9">
                                <w:rPr>
                                  <w:rFonts w:asciiTheme="majorHAnsi" w:eastAsiaTheme="majorEastAsia" w:hAnsiTheme="majorHAnsi" w:cstheme="majorBidi"/>
                                  <w:color w:val="FFFFFF" w:themeColor="background1"/>
                                  <w:sz w:val="72"/>
                                  <w:szCs w:val="72"/>
                                </w:rPr>
                                <w:t>Implementation</w:t>
                              </w:r>
                            </w:sdtContent>
                          </w:sdt>
                          <w:r>
                            <w:rPr>
                              <w:rFonts w:asciiTheme="majorHAnsi" w:eastAsiaTheme="majorEastAsia" w:hAnsiTheme="majorHAnsi" w:cstheme="majorBidi"/>
                              <w:color w:val="FFFFFF" w:themeColor="background1"/>
                              <w:sz w:val="72"/>
                              <w:szCs w:val="72"/>
                            </w:rPr>
                            <w:t xml:space="preserve"> Report</w:t>
                          </w:r>
                        </w:p>
                      </w:txbxContent>
                    </v:textbox>
                    <w10:wrap anchorx="page" anchory="page"/>
                  </v:rect>
                </w:pict>
              </mc:Fallback>
            </mc:AlternateContent>
          </w:r>
          <w:r>
            <w:rPr>
              <w:noProof/>
            </w:rPr>
            <mc:AlternateContent>
              <mc:Choice Requires="wpg">
                <w:drawing>
                  <wp:anchor distT="0" distB="0" distL="114300" distR="114300" simplePos="0" relativeHeight="251655168" behindDoc="0" locked="0" layoutInCell="0" allowOverlap="1" wp14:anchorId="6130F57A" wp14:editId="6130F57B">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130F5F7" w14:textId="1EB3AA65" w:rsidR="006503A9" w:rsidRDefault="006503A9">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130F5F8" w14:textId="554EF8F9" w:rsidR="006503A9" w:rsidRDefault="006503A9">
                                      <w:pPr>
                                        <w:pStyle w:val="NoSpacing"/>
                                        <w:spacing w:line="360" w:lineRule="auto"/>
                                        <w:rPr>
                                          <w:color w:val="FFFFFF" w:themeColor="background1"/>
                                        </w:rPr>
                                      </w:pPr>
                                      <w:r>
                                        <w:rPr>
                                          <w:color w:val="FFFFFF" w:themeColor="background1"/>
                                        </w:rPr>
                                        <w:t>Southern Georgia Regional Commission Valdosta-Lowndes MPO</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7-04-05T00:00:00Z">
                                      <w:dateFormat w:val="M/d/yyyy"/>
                                      <w:lid w:val="en-US"/>
                                      <w:storeMappedDataAs w:val="dateTime"/>
                                      <w:calendar w:val="gregorian"/>
                                    </w:date>
                                  </w:sdtPr>
                                  <w:sdtEndPr/>
                                  <w:sdtContent>
                                    <w:p w14:paraId="6130F5F9" w14:textId="22EA89FB" w:rsidR="006503A9" w:rsidRDefault="006503A9">
                                      <w:pPr>
                                        <w:pStyle w:val="NoSpacing"/>
                                        <w:spacing w:line="360" w:lineRule="auto"/>
                                        <w:rPr>
                                          <w:color w:val="FFFFFF" w:themeColor="background1"/>
                                        </w:rPr>
                                      </w:pPr>
                                      <w:r>
                                        <w:rPr>
                                          <w:color w:val="FFFFFF" w:themeColor="background1"/>
                                        </w:rPr>
                                        <w:t>4/5/2017</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130F57A" id="Group 14" o:spid="_x0000_s1027" style="position:absolute;margin-left:194.35pt;margin-top:0;width:245.55pt;height:11in;z-index:25165516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2"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14:paraId="6130F5F7" w14:textId="1EB3AA65" w:rsidR="006503A9" w:rsidRDefault="006503A9">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130F5F8" w14:textId="554EF8F9" w:rsidR="006503A9" w:rsidRDefault="006503A9">
                                <w:pPr>
                                  <w:pStyle w:val="NoSpacing"/>
                                  <w:spacing w:line="360" w:lineRule="auto"/>
                                  <w:rPr>
                                    <w:color w:val="FFFFFF" w:themeColor="background1"/>
                                  </w:rPr>
                                </w:pPr>
                                <w:r>
                                  <w:rPr>
                                    <w:color w:val="FFFFFF" w:themeColor="background1"/>
                                  </w:rPr>
                                  <w:t>Southern Georgia Regional Commission Valdosta-Lowndes MPO</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7-04-05T00:00:00Z">
                                <w:dateFormat w:val="M/d/yyyy"/>
                                <w:lid w:val="en-US"/>
                                <w:storeMappedDataAs w:val="dateTime"/>
                                <w:calendar w:val="gregorian"/>
                              </w:date>
                            </w:sdtPr>
                            <w:sdtEndPr/>
                            <w:sdtContent>
                              <w:p w14:paraId="6130F5F9" w14:textId="22EA89FB" w:rsidR="006503A9" w:rsidRDefault="006503A9">
                                <w:pPr>
                                  <w:pStyle w:val="NoSpacing"/>
                                  <w:spacing w:line="360" w:lineRule="auto"/>
                                  <w:rPr>
                                    <w:color w:val="FFFFFF" w:themeColor="background1"/>
                                  </w:rPr>
                                </w:pPr>
                                <w:r>
                                  <w:rPr>
                                    <w:color w:val="FFFFFF" w:themeColor="background1"/>
                                  </w:rPr>
                                  <w:t>4/5/2017</w:t>
                                </w:r>
                              </w:p>
                            </w:sdtContent>
                          </w:sdt>
                        </w:txbxContent>
                      </v:textbox>
                    </v:rect>
                    <w10:wrap anchorx="page" anchory="page"/>
                  </v:group>
                </w:pict>
              </mc:Fallback>
            </mc:AlternateContent>
          </w:r>
        </w:p>
        <w:p w14:paraId="6130F1EB" w14:textId="4FA5D5C1" w:rsidR="001B18BB" w:rsidRPr="00F20795" w:rsidRDefault="00773DCB">
          <w:pPr>
            <w:spacing w:after="200" w:line="276" w:lineRule="auto"/>
            <w:rPr>
              <w:rFonts w:asciiTheme="minorHAnsi" w:hAnsiTheme="minorHAnsi"/>
            </w:rPr>
          </w:pPr>
          <w:bookmarkStart w:id="0" w:name="_GoBack"/>
          <w:bookmarkEnd w:id="0"/>
          <w:r w:rsidRPr="00773DCB">
            <w:rPr>
              <w:rFonts w:asciiTheme="minorHAnsi" w:hAnsiTheme="minorHAnsi"/>
              <w:noProof/>
            </w:rPr>
            <mc:AlternateContent>
              <mc:Choice Requires="wps">
                <w:drawing>
                  <wp:anchor distT="45720" distB="45720" distL="114300" distR="114300" simplePos="0" relativeHeight="251661312" behindDoc="0" locked="0" layoutInCell="1" allowOverlap="1" wp14:anchorId="28061A5E" wp14:editId="09C785C6">
                    <wp:simplePos x="0" y="0"/>
                    <wp:positionH relativeFrom="column">
                      <wp:posOffset>14605</wp:posOffset>
                    </wp:positionH>
                    <wp:positionV relativeFrom="paragraph">
                      <wp:posOffset>6385560</wp:posOffset>
                    </wp:positionV>
                    <wp:extent cx="3737610" cy="235521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355215"/>
                            </a:xfrm>
                            <a:prstGeom prst="rect">
                              <a:avLst/>
                            </a:prstGeom>
                            <a:solidFill>
                              <a:srgbClr val="FFFFFF"/>
                            </a:solidFill>
                            <a:ln w="9525">
                              <a:noFill/>
                              <a:miter lim="800000"/>
                              <a:headEnd/>
                              <a:tailEnd/>
                            </a:ln>
                          </wps:spPr>
                          <wps:txbx>
                            <w:txbxContent>
                              <w:p w14:paraId="14C898F6" w14:textId="384A8441" w:rsidR="006503A9" w:rsidRDefault="006503A9" w:rsidP="00773DCB">
                                <w:pPr>
                                  <w:autoSpaceDE w:val="0"/>
                                  <w:autoSpaceDN w:val="0"/>
                                  <w:adjustRightInd w:val="0"/>
                                  <w:jc w:val="both"/>
                                  <w:rPr>
                                    <w:rFonts w:cs="Calibri"/>
                                    <w:i/>
                                    <w:iCs/>
                                    <w:color w:val="000000"/>
                                    <w:sz w:val="18"/>
                                    <w:szCs w:val="18"/>
                                  </w:rPr>
                                </w:pPr>
                                <w:r w:rsidRPr="008B4C46">
                                  <w:rPr>
                                    <w:rFonts w:cs="Calibri"/>
                                    <w:i/>
                                    <w:iCs/>
                                    <w:color w:val="000000"/>
                                    <w:sz w:val="18"/>
                                    <w:szCs w:val="18"/>
                                  </w:rPr>
                                  <w:t xml:space="preserve">The contents in this publication reflect the views of the author(s), who is (are) responsible for the facts and accuracy of the data presented herein. The opinions, findings, and conclusions in this publication are those of the author(s) and do not necessarily reflect those of the Department of Transportation, State of Georgia, the Federal Highway Administration, or the Federal Transit Administration. This publication does not constitute a standard, specification or regulation. </w:t>
                                </w:r>
                              </w:p>
                              <w:p w14:paraId="13E6AF58" w14:textId="5A7E3F2D" w:rsidR="006503A9" w:rsidRDefault="006503A9" w:rsidP="00773DCB">
                                <w:pPr>
                                  <w:jc w:val="both"/>
                                </w:pPr>
                              </w:p>
                              <w:p w14:paraId="395EF651" w14:textId="77777777" w:rsidR="006503A9" w:rsidRDefault="006503A9" w:rsidP="00523D1B">
                                <w:pPr>
                                  <w:jc w:val="both"/>
                                  <w:rPr>
                                    <w:rFonts w:cs="Calibri"/>
                                    <w:i/>
                                    <w:iCs/>
                                    <w:color w:val="000000"/>
                                    <w:sz w:val="18"/>
                                    <w:szCs w:val="18"/>
                                  </w:rPr>
                                </w:pPr>
                                <w:r w:rsidRPr="008B4C46">
                                  <w:rPr>
                                    <w:rFonts w:cs="Calibri"/>
                                    <w:i/>
                                    <w:iCs/>
                                    <w:color w:val="000000"/>
                                    <w:sz w:val="18"/>
                                    <w:szCs w:val="18"/>
                                  </w:rPr>
                                  <w:t>This document is prepared in cooperation with the Georgia Department of Transportation, the</w:t>
                                </w:r>
                                <w:r>
                                  <w:rPr>
                                    <w:rFonts w:cs="Calibri"/>
                                    <w:i/>
                                    <w:iCs/>
                                    <w:color w:val="000000"/>
                                    <w:sz w:val="18"/>
                                    <w:szCs w:val="18"/>
                                  </w:rPr>
                                  <w:t xml:space="preserve"> Federal Highway Administration </w:t>
                                </w:r>
                                <w:r w:rsidRPr="008B4C46">
                                  <w:rPr>
                                    <w:rFonts w:cs="Calibri"/>
                                    <w:i/>
                                    <w:iCs/>
                                    <w:color w:val="000000"/>
                                    <w:sz w:val="18"/>
                                    <w:szCs w:val="18"/>
                                  </w:rPr>
                                  <w:t>and Federal Transit Administration</w:t>
                                </w:r>
                                <w:r>
                                  <w:rPr>
                                    <w:rFonts w:cs="Calibri"/>
                                    <w:i/>
                                    <w:iCs/>
                                    <w:color w:val="000000"/>
                                    <w:sz w:val="18"/>
                                    <w:szCs w:val="18"/>
                                  </w:rPr>
                                  <w:t>.</w:t>
                                </w:r>
                              </w:p>
                              <w:p w14:paraId="366E335D" w14:textId="77777777" w:rsidR="006503A9" w:rsidRDefault="006503A9" w:rsidP="00523D1B">
                                <w:pPr>
                                  <w:jc w:val="both"/>
                                  <w:rPr>
                                    <w:rFonts w:cs="Calibri"/>
                                    <w:i/>
                                    <w:iCs/>
                                    <w:color w:val="000000"/>
                                    <w:sz w:val="18"/>
                                    <w:szCs w:val="18"/>
                                  </w:rPr>
                                </w:pPr>
                              </w:p>
                              <w:p w14:paraId="6DC317ED" w14:textId="77777777" w:rsidR="006503A9" w:rsidRDefault="006503A9" w:rsidP="006503A9">
                                <w:pPr>
                                  <w:jc w:val="both"/>
                                </w:pPr>
                                <w:r w:rsidRPr="003C781F">
                                  <w:rPr>
                                    <w:i/>
                                    <w:sz w:val="18"/>
                                    <w:szCs w:val="18"/>
                                  </w:rPr>
                                  <w:t>VLMPO fully complies with Title VI of the Civil Rights Act of 1964 and related statutes and regulations in all programs and activities. VLMPO’s website (www.sgrc.us/transportation) may be translated into multiple languages. Publications and other public documents can be made available in alternative languages or formats, if requested</w:t>
                                </w:r>
                                <w:r w:rsidRPr="003C781F">
                                  <w:rPr>
                                    <w:rFonts w:cs="Calibri"/>
                                    <w:i/>
                                    <w:iCs/>
                                    <w:color w:val="000000"/>
                                    <w:sz w:val="18"/>
                                    <w:szCs w:val="18"/>
                                  </w:rPr>
                                  <w:t>.</w:t>
                                </w:r>
                              </w:p>
                              <w:p w14:paraId="0D09DB49" w14:textId="77777777" w:rsidR="006503A9" w:rsidRDefault="006503A9" w:rsidP="00523D1B">
                                <w:pPr>
                                  <w:jc w:val="both"/>
                                  <w:rPr>
                                    <w:rFonts w:cs="Calibri"/>
                                    <w:i/>
                                    <w:iCs/>
                                    <w:color w:val="000000"/>
                                    <w:sz w:val="18"/>
                                    <w:szCs w:val="18"/>
                                  </w:rPr>
                                </w:pPr>
                              </w:p>
                              <w:p w14:paraId="630ECE71" w14:textId="77777777" w:rsidR="006503A9" w:rsidRDefault="006503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061A5E" id="_x0000_t202" coordsize="21600,21600" o:spt="202" path="m,l,21600r21600,l21600,xe">
                    <v:stroke joinstyle="miter"/>
                    <v:path gradientshapeok="t" o:connecttype="rect"/>
                  </v:shapetype>
                  <v:shape id="Text Box 2" o:spid="_x0000_s1033" type="#_x0000_t202" style="position:absolute;margin-left:1.15pt;margin-top:502.8pt;width:294.3pt;height:185.4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" stroked="f">
                    <v:textbox>
                      <w:txbxContent>
                        <w:p w14:paraId="14C898F6" w14:textId="384A8441" w:rsidR="006503A9" w:rsidRDefault="006503A9" w:rsidP="00773DCB">
                          <w:pPr>
                            <w:autoSpaceDE w:val="0"/>
                            <w:autoSpaceDN w:val="0"/>
                            <w:adjustRightInd w:val="0"/>
                            <w:jc w:val="both"/>
                            <w:rPr>
                              <w:rFonts w:cs="Calibri"/>
                              <w:i/>
                              <w:iCs/>
                              <w:color w:val="000000"/>
                              <w:sz w:val="18"/>
                              <w:szCs w:val="18"/>
                            </w:rPr>
                          </w:pPr>
                          <w:r w:rsidRPr="008B4C46">
                            <w:rPr>
                              <w:rFonts w:cs="Calibri"/>
                              <w:i/>
                              <w:iCs/>
                              <w:color w:val="000000"/>
                              <w:sz w:val="18"/>
                              <w:szCs w:val="18"/>
                            </w:rPr>
                            <w:t xml:space="preserve">The contents in this publication reflect the views of the author(s), who is (are) responsible for the facts and accuracy of the data presented herein. The opinions, findings, and conclusions in this publication are those of the author(s) and do not necessarily reflect those of the Department of Transportation, State of Georgia, the Federal Highway Administration, or the Federal Transit Administration. This publication does not constitute a standard, specification or regulation. </w:t>
                          </w:r>
                        </w:p>
                        <w:p w14:paraId="13E6AF58" w14:textId="5A7E3F2D" w:rsidR="006503A9" w:rsidRDefault="006503A9" w:rsidP="00773DCB">
                          <w:pPr>
                            <w:jc w:val="both"/>
                          </w:pPr>
                        </w:p>
                        <w:p w14:paraId="395EF651" w14:textId="77777777" w:rsidR="006503A9" w:rsidRDefault="006503A9" w:rsidP="00523D1B">
                          <w:pPr>
                            <w:jc w:val="both"/>
                            <w:rPr>
                              <w:rFonts w:cs="Calibri"/>
                              <w:i/>
                              <w:iCs/>
                              <w:color w:val="000000"/>
                              <w:sz w:val="18"/>
                              <w:szCs w:val="18"/>
                            </w:rPr>
                          </w:pPr>
                          <w:r w:rsidRPr="008B4C46">
                            <w:rPr>
                              <w:rFonts w:cs="Calibri"/>
                              <w:i/>
                              <w:iCs/>
                              <w:color w:val="000000"/>
                              <w:sz w:val="18"/>
                              <w:szCs w:val="18"/>
                            </w:rPr>
                            <w:t>This document is prepared in cooperation with the Georgia Department of Transportation, the</w:t>
                          </w:r>
                          <w:r>
                            <w:rPr>
                              <w:rFonts w:cs="Calibri"/>
                              <w:i/>
                              <w:iCs/>
                              <w:color w:val="000000"/>
                              <w:sz w:val="18"/>
                              <w:szCs w:val="18"/>
                            </w:rPr>
                            <w:t xml:space="preserve"> Federal Highway Administration </w:t>
                          </w:r>
                          <w:r w:rsidRPr="008B4C46">
                            <w:rPr>
                              <w:rFonts w:cs="Calibri"/>
                              <w:i/>
                              <w:iCs/>
                              <w:color w:val="000000"/>
                              <w:sz w:val="18"/>
                              <w:szCs w:val="18"/>
                            </w:rPr>
                            <w:t>and Federal Transit Administration</w:t>
                          </w:r>
                          <w:r>
                            <w:rPr>
                              <w:rFonts w:cs="Calibri"/>
                              <w:i/>
                              <w:iCs/>
                              <w:color w:val="000000"/>
                              <w:sz w:val="18"/>
                              <w:szCs w:val="18"/>
                            </w:rPr>
                            <w:t>.</w:t>
                          </w:r>
                        </w:p>
                        <w:p w14:paraId="366E335D" w14:textId="77777777" w:rsidR="006503A9" w:rsidRDefault="006503A9" w:rsidP="00523D1B">
                          <w:pPr>
                            <w:jc w:val="both"/>
                            <w:rPr>
                              <w:rFonts w:cs="Calibri"/>
                              <w:i/>
                              <w:iCs/>
                              <w:color w:val="000000"/>
                              <w:sz w:val="18"/>
                              <w:szCs w:val="18"/>
                            </w:rPr>
                          </w:pPr>
                        </w:p>
                        <w:p w14:paraId="6DC317ED" w14:textId="77777777" w:rsidR="006503A9" w:rsidRDefault="006503A9" w:rsidP="006503A9">
                          <w:pPr>
                            <w:jc w:val="both"/>
                          </w:pPr>
                          <w:r w:rsidRPr="003C781F">
                            <w:rPr>
                              <w:i/>
                              <w:sz w:val="18"/>
                              <w:szCs w:val="18"/>
                            </w:rPr>
                            <w:t>VLMPO fully complies with Title VI of the Civil Rights Act of 1964 and related statutes and regulations in all programs and activities. VLMPO’s website (www.sgrc.us/transportation) may be translated into multiple languages. Publications and other public documents can be made available in alternative languages or formats, if requested</w:t>
                          </w:r>
                          <w:r w:rsidRPr="003C781F">
                            <w:rPr>
                              <w:rFonts w:cs="Calibri"/>
                              <w:i/>
                              <w:iCs/>
                              <w:color w:val="000000"/>
                              <w:sz w:val="18"/>
                              <w:szCs w:val="18"/>
                            </w:rPr>
                            <w:t>.</w:t>
                          </w:r>
                        </w:p>
                        <w:p w14:paraId="0D09DB49" w14:textId="77777777" w:rsidR="006503A9" w:rsidRDefault="006503A9" w:rsidP="00523D1B">
                          <w:pPr>
                            <w:jc w:val="both"/>
                            <w:rPr>
                              <w:rFonts w:cs="Calibri"/>
                              <w:i/>
                              <w:iCs/>
                              <w:color w:val="000000"/>
                              <w:sz w:val="18"/>
                              <w:szCs w:val="18"/>
                            </w:rPr>
                          </w:pPr>
                        </w:p>
                        <w:p w14:paraId="630ECE71" w14:textId="77777777" w:rsidR="006503A9" w:rsidRDefault="006503A9"/>
                      </w:txbxContent>
                    </v:textbox>
                    <w10:wrap type="square"/>
                  </v:shape>
                </w:pict>
              </mc:Fallback>
            </mc:AlternateContent>
          </w:r>
          <w:r w:rsidR="001B18BB" w:rsidRPr="00F20795">
            <w:rPr>
              <w:noProof/>
            </w:rPr>
            <w:drawing>
              <wp:anchor distT="0" distB="0" distL="114300" distR="114300" simplePos="0" relativeHeight="251656192" behindDoc="0" locked="0" layoutInCell="0" allowOverlap="1" wp14:anchorId="6130F57C" wp14:editId="6130F57D">
                <wp:simplePos x="0" y="0"/>
                <wp:positionH relativeFrom="page">
                  <wp:align>right</wp:align>
                </wp:positionH>
                <wp:positionV relativeFrom="page">
                  <wp:align>center</wp:align>
                </wp:positionV>
                <wp:extent cx="4557433" cy="3706967"/>
                <wp:effectExtent l="19050" t="19050" r="14605"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7433" cy="3706967"/>
                        </a:xfrm>
                        <a:prstGeom prst="rect">
                          <a:avLst/>
                        </a:prstGeom>
                        <a:ln w="12700">
                          <a:solidFill>
                            <a:schemeClr val="bg1"/>
                          </a:solidFill>
                        </a:ln>
                      </pic:spPr>
                    </pic:pic>
                  </a:graphicData>
                </a:graphic>
                <wp14:sizeRelH relativeFrom="margin">
                  <wp14:pctWidth>0</wp14:pctWidth>
                </wp14:sizeRelH>
              </wp:anchor>
            </w:drawing>
          </w:r>
          <w:r w:rsidR="001B18BB" w:rsidRPr="00F20795">
            <w:rPr>
              <w:rFonts w:asciiTheme="minorHAnsi" w:hAnsiTheme="minorHAnsi"/>
            </w:rPr>
            <w:br w:type="page"/>
          </w:r>
        </w:p>
      </w:sdtContent>
    </w:sdt>
    <w:sdt>
      <w:sdtPr>
        <w:rPr>
          <w:rFonts w:ascii="Goudy Old Style" w:eastAsiaTheme="minorEastAsia" w:hAnsi="Goudy Old Style" w:cstheme="minorBidi"/>
          <w:b w:val="0"/>
          <w:bCs w:val="0"/>
          <w:color w:val="000000" w:themeColor="text1"/>
          <w:sz w:val="24"/>
          <w:szCs w:val="24"/>
          <w:lang w:eastAsia="en-US"/>
        </w:rPr>
        <w:id w:val="689027691"/>
        <w:docPartObj>
          <w:docPartGallery w:val="Table of Contents"/>
          <w:docPartUnique/>
        </w:docPartObj>
      </w:sdtPr>
      <w:sdtEndPr>
        <w:rPr>
          <w:noProof/>
        </w:rPr>
      </w:sdtEndPr>
      <w:sdtContent>
        <w:p w14:paraId="6130F1EC" w14:textId="77777777" w:rsidR="009C7B8E" w:rsidRDefault="009C7B8E">
          <w:pPr>
            <w:pStyle w:val="TOCHeading"/>
          </w:pPr>
          <w:r>
            <w:t>Contents</w:t>
          </w:r>
        </w:p>
        <w:p w14:paraId="6130F1ED" w14:textId="77777777" w:rsidR="00724A54" w:rsidRDefault="009C7B8E">
          <w:pPr>
            <w:pStyle w:val="TOC1"/>
            <w:tabs>
              <w:tab w:val="right" w:leader="dot" w:pos="9350"/>
            </w:tabs>
            <w:rPr>
              <w:rFonts w:asciiTheme="minorHAnsi" w:hAnsiTheme="minorHAnsi"/>
              <w:noProof/>
              <w:color w:val="auto"/>
              <w:sz w:val="22"/>
              <w:szCs w:val="22"/>
            </w:rPr>
          </w:pPr>
          <w:r>
            <w:fldChar w:fldCharType="begin"/>
          </w:r>
          <w:r>
            <w:instrText xml:space="preserve"> TOC \o "1-3" \h \z \u </w:instrText>
          </w:r>
          <w:r>
            <w:fldChar w:fldCharType="separate"/>
          </w:r>
          <w:hyperlink w:anchor="_Toc477860547" w:history="1">
            <w:r w:rsidR="00724A54" w:rsidRPr="006A5AA5">
              <w:rPr>
                <w:rStyle w:val="Hyperlink"/>
                <w:noProof/>
              </w:rPr>
              <w:t>Executive Summary</w:t>
            </w:r>
            <w:r w:rsidR="00724A54">
              <w:rPr>
                <w:noProof/>
                <w:webHidden/>
              </w:rPr>
              <w:tab/>
            </w:r>
            <w:r w:rsidR="00724A54">
              <w:rPr>
                <w:noProof/>
                <w:webHidden/>
              </w:rPr>
              <w:fldChar w:fldCharType="begin"/>
            </w:r>
            <w:r w:rsidR="00724A54">
              <w:rPr>
                <w:noProof/>
                <w:webHidden/>
              </w:rPr>
              <w:instrText xml:space="preserve"> PAGEREF _Toc477860547 \h </w:instrText>
            </w:r>
            <w:r w:rsidR="00724A54">
              <w:rPr>
                <w:noProof/>
                <w:webHidden/>
              </w:rPr>
            </w:r>
            <w:r w:rsidR="00724A54">
              <w:rPr>
                <w:noProof/>
                <w:webHidden/>
              </w:rPr>
              <w:fldChar w:fldCharType="separate"/>
            </w:r>
            <w:r w:rsidR="00DD54B2">
              <w:rPr>
                <w:noProof/>
                <w:webHidden/>
              </w:rPr>
              <w:t>2</w:t>
            </w:r>
            <w:r w:rsidR="00724A54">
              <w:rPr>
                <w:noProof/>
                <w:webHidden/>
              </w:rPr>
              <w:fldChar w:fldCharType="end"/>
            </w:r>
          </w:hyperlink>
        </w:p>
        <w:p w14:paraId="6130F1EE" w14:textId="77777777" w:rsidR="00724A54" w:rsidRDefault="00AD03A8">
          <w:pPr>
            <w:pStyle w:val="TOC1"/>
            <w:tabs>
              <w:tab w:val="right" w:leader="dot" w:pos="9350"/>
            </w:tabs>
            <w:rPr>
              <w:rFonts w:asciiTheme="minorHAnsi" w:hAnsiTheme="minorHAnsi"/>
              <w:noProof/>
              <w:color w:val="auto"/>
              <w:sz w:val="22"/>
              <w:szCs w:val="22"/>
            </w:rPr>
          </w:pPr>
          <w:hyperlink w:anchor="_Toc477860548" w:history="1">
            <w:r w:rsidR="00724A54" w:rsidRPr="006A5AA5">
              <w:rPr>
                <w:rStyle w:val="Hyperlink"/>
                <w:noProof/>
              </w:rPr>
              <w:t>Part 1: The Pilot Shuttle Program Evaluation</w:t>
            </w:r>
            <w:r w:rsidR="00724A54">
              <w:rPr>
                <w:noProof/>
                <w:webHidden/>
              </w:rPr>
              <w:tab/>
            </w:r>
            <w:r w:rsidR="00724A54">
              <w:rPr>
                <w:noProof/>
                <w:webHidden/>
              </w:rPr>
              <w:fldChar w:fldCharType="begin"/>
            </w:r>
            <w:r w:rsidR="00724A54">
              <w:rPr>
                <w:noProof/>
                <w:webHidden/>
              </w:rPr>
              <w:instrText xml:space="preserve"> PAGEREF _Toc477860548 \h </w:instrText>
            </w:r>
            <w:r w:rsidR="00724A54">
              <w:rPr>
                <w:noProof/>
                <w:webHidden/>
              </w:rPr>
            </w:r>
            <w:r w:rsidR="00724A54">
              <w:rPr>
                <w:noProof/>
                <w:webHidden/>
              </w:rPr>
              <w:fldChar w:fldCharType="separate"/>
            </w:r>
            <w:r w:rsidR="00DD54B2">
              <w:rPr>
                <w:noProof/>
                <w:webHidden/>
              </w:rPr>
              <w:t>3</w:t>
            </w:r>
            <w:r w:rsidR="00724A54">
              <w:rPr>
                <w:noProof/>
                <w:webHidden/>
              </w:rPr>
              <w:fldChar w:fldCharType="end"/>
            </w:r>
          </w:hyperlink>
        </w:p>
        <w:p w14:paraId="6130F1EF" w14:textId="77777777" w:rsidR="00724A54" w:rsidRDefault="00AD03A8">
          <w:pPr>
            <w:pStyle w:val="TOC2"/>
            <w:tabs>
              <w:tab w:val="right" w:leader="dot" w:pos="9350"/>
            </w:tabs>
            <w:rPr>
              <w:rFonts w:asciiTheme="minorHAnsi" w:hAnsiTheme="minorHAnsi"/>
              <w:noProof/>
              <w:color w:val="auto"/>
              <w:sz w:val="22"/>
              <w:szCs w:val="22"/>
            </w:rPr>
          </w:pPr>
          <w:hyperlink w:anchor="_Toc477860549" w:history="1">
            <w:r w:rsidR="00724A54" w:rsidRPr="006A5AA5">
              <w:rPr>
                <w:rStyle w:val="Hyperlink"/>
                <w:noProof/>
              </w:rPr>
              <w:t>National Recognition</w:t>
            </w:r>
            <w:r w:rsidR="00724A54">
              <w:rPr>
                <w:noProof/>
                <w:webHidden/>
              </w:rPr>
              <w:tab/>
            </w:r>
            <w:r w:rsidR="00724A54">
              <w:rPr>
                <w:noProof/>
                <w:webHidden/>
              </w:rPr>
              <w:fldChar w:fldCharType="begin"/>
            </w:r>
            <w:r w:rsidR="00724A54">
              <w:rPr>
                <w:noProof/>
                <w:webHidden/>
              </w:rPr>
              <w:instrText xml:space="preserve"> PAGEREF _Toc477860549 \h </w:instrText>
            </w:r>
            <w:r w:rsidR="00724A54">
              <w:rPr>
                <w:noProof/>
                <w:webHidden/>
              </w:rPr>
            </w:r>
            <w:r w:rsidR="00724A54">
              <w:rPr>
                <w:noProof/>
                <w:webHidden/>
              </w:rPr>
              <w:fldChar w:fldCharType="separate"/>
            </w:r>
            <w:r w:rsidR="00DD54B2">
              <w:rPr>
                <w:noProof/>
                <w:webHidden/>
              </w:rPr>
              <w:t>13</w:t>
            </w:r>
            <w:r w:rsidR="00724A54">
              <w:rPr>
                <w:noProof/>
                <w:webHidden/>
              </w:rPr>
              <w:fldChar w:fldCharType="end"/>
            </w:r>
          </w:hyperlink>
        </w:p>
        <w:p w14:paraId="6130F1F0" w14:textId="77777777" w:rsidR="00724A54" w:rsidRDefault="00AD03A8">
          <w:pPr>
            <w:pStyle w:val="TOC2"/>
            <w:tabs>
              <w:tab w:val="right" w:leader="dot" w:pos="9350"/>
            </w:tabs>
            <w:rPr>
              <w:rFonts w:asciiTheme="minorHAnsi" w:hAnsiTheme="minorHAnsi"/>
              <w:noProof/>
              <w:color w:val="auto"/>
              <w:sz w:val="22"/>
              <w:szCs w:val="22"/>
            </w:rPr>
          </w:pPr>
          <w:hyperlink w:anchor="_Toc477860550" w:history="1">
            <w:r w:rsidR="00724A54" w:rsidRPr="006A5AA5">
              <w:rPr>
                <w:rStyle w:val="Hyperlink"/>
                <w:noProof/>
              </w:rPr>
              <w:t>National Transit Database Comparison</w:t>
            </w:r>
            <w:r w:rsidR="00724A54">
              <w:rPr>
                <w:noProof/>
                <w:webHidden/>
              </w:rPr>
              <w:tab/>
            </w:r>
            <w:r w:rsidR="00724A54">
              <w:rPr>
                <w:noProof/>
                <w:webHidden/>
              </w:rPr>
              <w:fldChar w:fldCharType="begin"/>
            </w:r>
            <w:r w:rsidR="00724A54">
              <w:rPr>
                <w:noProof/>
                <w:webHidden/>
              </w:rPr>
              <w:instrText xml:space="preserve"> PAGEREF _Toc477860550 \h </w:instrText>
            </w:r>
            <w:r w:rsidR="00724A54">
              <w:rPr>
                <w:noProof/>
                <w:webHidden/>
              </w:rPr>
            </w:r>
            <w:r w:rsidR="00724A54">
              <w:rPr>
                <w:noProof/>
                <w:webHidden/>
              </w:rPr>
              <w:fldChar w:fldCharType="separate"/>
            </w:r>
            <w:r w:rsidR="00DD54B2">
              <w:rPr>
                <w:noProof/>
                <w:webHidden/>
              </w:rPr>
              <w:t>14</w:t>
            </w:r>
            <w:r w:rsidR="00724A54">
              <w:rPr>
                <w:noProof/>
                <w:webHidden/>
              </w:rPr>
              <w:fldChar w:fldCharType="end"/>
            </w:r>
          </w:hyperlink>
        </w:p>
        <w:p w14:paraId="6130F1F1" w14:textId="77777777" w:rsidR="00724A54" w:rsidRDefault="00AD03A8">
          <w:pPr>
            <w:pStyle w:val="TOC1"/>
            <w:tabs>
              <w:tab w:val="right" w:leader="dot" w:pos="9350"/>
            </w:tabs>
            <w:rPr>
              <w:rFonts w:asciiTheme="minorHAnsi" w:hAnsiTheme="minorHAnsi"/>
              <w:noProof/>
              <w:color w:val="auto"/>
              <w:sz w:val="22"/>
              <w:szCs w:val="22"/>
            </w:rPr>
          </w:pPr>
          <w:hyperlink w:anchor="_Toc477860551" w:history="1">
            <w:r w:rsidR="00724A54" w:rsidRPr="006A5AA5">
              <w:rPr>
                <w:rStyle w:val="Hyperlink"/>
                <w:noProof/>
              </w:rPr>
              <w:t>Part 2: Estimating Costs and Benefits of Public Transit</w:t>
            </w:r>
            <w:r w:rsidR="00724A54">
              <w:rPr>
                <w:noProof/>
                <w:webHidden/>
              </w:rPr>
              <w:tab/>
            </w:r>
            <w:r w:rsidR="00724A54">
              <w:rPr>
                <w:noProof/>
                <w:webHidden/>
              </w:rPr>
              <w:fldChar w:fldCharType="begin"/>
            </w:r>
            <w:r w:rsidR="00724A54">
              <w:rPr>
                <w:noProof/>
                <w:webHidden/>
              </w:rPr>
              <w:instrText xml:space="preserve"> PAGEREF _Toc477860551 \h </w:instrText>
            </w:r>
            <w:r w:rsidR="00724A54">
              <w:rPr>
                <w:noProof/>
                <w:webHidden/>
              </w:rPr>
            </w:r>
            <w:r w:rsidR="00724A54">
              <w:rPr>
                <w:noProof/>
                <w:webHidden/>
              </w:rPr>
              <w:fldChar w:fldCharType="separate"/>
            </w:r>
            <w:r w:rsidR="00DD54B2">
              <w:rPr>
                <w:noProof/>
                <w:webHidden/>
              </w:rPr>
              <w:t>15</w:t>
            </w:r>
            <w:r w:rsidR="00724A54">
              <w:rPr>
                <w:noProof/>
                <w:webHidden/>
              </w:rPr>
              <w:fldChar w:fldCharType="end"/>
            </w:r>
          </w:hyperlink>
        </w:p>
        <w:p w14:paraId="6130F1F2" w14:textId="77777777" w:rsidR="00724A54" w:rsidRDefault="00AD03A8">
          <w:pPr>
            <w:pStyle w:val="TOC2"/>
            <w:tabs>
              <w:tab w:val="right" w:leader="dot" w:pos="9350"/>
            </w:tabs>
            <w:rPr>
              <w:rFonts w:asciiTheme="minorHAnsi" w:hAnsiTheme="minorHAnsi"/>
              <w:noProof/>
              <w:color w:val="auto"/>
              <w:sz w:val="22"/>
              <w:szCs w:val="22"/>
            </w:rPr>
          </w:pPr>
          <w:hyperlink w:anchor="_Toc477860552" w:history="1">
            <w:r w:rsidR="00724A54" w:rsidRPr="006A5AA5">
              <w:rPr>
                <w:rStyle w:val="Hyperlink"/>
                <w:noProof/>
              </w:rPr>
              <w:t>Transportation Cost Savings</w:t>
            </w:r>
            <w:r w:rsidR="00724A54">
              <w:rPr>
                <w:noProof/>
                <w:webHidden/>
              </w:rPr>
              <w:tab/>
            </w:r>
            <w:r w:rsidR="00724A54">
              <w:rPr>
                <w:noProof/>
                <w:webHidden/>
              </w:rPr>
              <w:fldChar w:fldCharType="begin"/>
            </w:r>
            <w:r w:rsidR="00724A54">
              <w:rPr>
                <w:noProof/>
                <w:webHidden/>
              </w:rPr>
              <w:instrText xml:space="preserve"> PAGEREF _Toc477860552 \h </w:instrText>
            </w:r>
            <w:r w:rsidR="00724A54">
              <w:rPr>
                <w:noProof/>
                <w:webHidden/>
              </w:rPr>
            </w:r>
            <w:r w:rsidR="00724A54">
              <w:rPr>
                <w:noProof/>
                <w:webHidden/>
              </w:rPr>
              <w:fldChar w:fldCharType="separate"/>
            </w:r>
            <w:r w:rsidR="00DD54B2">
              <w:rPr>
                <w:noProof/>
                <w:webHidden/>
              </w:rPr>
              <w:t>16</w:t>
            </w:r>
            <w:r w:rsidR="00724A54">
              <w:rPr>
                <w:noProof/>
                <w:webHidden/>
              </w:rPr>
              <w:fldChar w:fldCharType="end"/>
            </w:r>
          </w:hyperlink>
        </w:p>
        <w:p w14:paraId="6130F1F3" w14:textId="77777777" w:rsidR="00724A54" w:rsidRDefault="00AD03A8">
          <w:pPr>
            <w:pStyle w:val="TOC2"/>
            <w:tabs>
              <w:tab w:val="right" w:leader="dot" w:pos="9350"/>
            </w:tabs>
            <w:rPr>
              <w:rFonts w:asciiTheme="minorHAnsi" w:hAnsiTheme="minorHAnsi"/>
              <w:noProof/>
              <w:color w:val="auto"/>
              <w:sz w:val="22"/>
              <w:szCs w:val="22"/>
            </w:rPr>
          </w:pPr>
          <w:hyperlink w:anchor="_Toc477860553" w:history="1">
            <w:r w:rsidR="00724A54" w:rsidRPr="006A5AA5">
              <w:rPr>
                <w:rStyle w:val="Hyperlink"/>
                <w:noProof/>
              </w:rPr>
              <w:t>Low Cost Mobility Benefits</w:t>
            </w:r>
            <w:r w:rsidR="00724A54">
              <w:rPr>
                <w:noProof/>
                <w:webHidden/>
              </w:rPr>
              <w:tab/>
            </w:r>
            <w:r w:rsidR="00724A54">
              <w:rPr>
                <w:noProof/>
                <w:webHidden/>
              </w:rPr>
              <w:fldChar w:fldCharType="begin"/>
            </w:r>
            <w:r w:rsidR="00724A54">
              <w:rPr>
                <w:noProof/>
                <w:webHidden/>
              </w:rPr>
              <w:instrText xml:space="preserve"> PAGEREF _Toc477860553 \h </w:instrText>
            </w:r>
            <w:r w:rsidR="00724A54">
              <w:rPr>
                <w:noProof/>
                <w:webHidden/>
              </w:rPr>
            </w:r>
            <w:r w:rsidR="00724A54">
              <w:rPr>
                <w:noProof/>
                <w:webHidden/>
              </w:rPr>
              <w:fldChar w:fldCharType="separate"/>
            </w:r>
            <w:r w:rsidR="00DD54B2">
              <w:rPr>
                <w:noProof/>
                <w:webHidden/>
              </w:rPr>
              <w:t>21</w:t>
            </w:r>
            <w:r w:rsidR="00724A54">
              <w:rPr>
                <w:noProof/>
                <w:webHidden/>
              </w:rPr>
              <w:fldChar w:fldCharType="end"/>
            </w:r>
          </w:hyperlink>
        </w:p>
        <w:p w14:paraId="6130F1F4" w14:textId="77777777" w:rsidR="00724A54" w:rsidRDefault="00AD03A8">
          <w:pPr>
            <w:pStyle w:val="TOC2"/>
            <w:tabs>
              <w:tab w:val="right" w:leader="dot" w:pos="9350"/>
            </w:tabs>
            <w:rPr>
              <w:rFonts w:asciiTheme="minorHAnsi" w:hAnsiTheme="minorHAnsi"/>
              <w:noProof/>
              <w:color w:val="auto"/>
              <w:sz w:val="22"/>
              <w:szCs w:val="22"/>
            </w:rPr>
          </w:pPr>
          <w:hyperlink w:anchor="_Toc477860554" w:history="1">
            <w:r w:rsidR="00724A54" w:rsidRPr="006A5AA5">
              <w:rPr>
                <w:rStyle w:val="Hyperlink"/>
                <w:noProof/>
              </w:rPr>
              <w:t>Cost-Benefit Ratio Findings</w:t>
            </w:r>
            <w:r w:rsidR="00724A54">
              <w:rPr>
                <w:noProof/>
                <w:webHidden/>
              </w:rPr>
              <w:tab/>
            </w:r>
            <w:r w:rsidR="00724A54">
              <w:rPr>
                <w:noProof/>
                <w:webHidden/>
              </w:rPr>
              <w:fldChar w:fldCharType="begin"/>
            </w:r>
            <w:r w:rsidR="00724A54">
              <w:rPr>
                <w:noProof/>
                <w:webHidden/>
              </w:rPr>
              <w:instrText xml:space="preserve"> PAGEREF _Toc477860554 \h </w:instrText>
            </w:r>
            <w:r w:rsidR="00724A54">
              <w:rPr>
                <w:noProof/>
                <w:webHidden/>
              </w:rPr>
            </w:r>
            <w:r w:rsidR="00724A54">
              <w:rPr>
                <w:noProof/>
                <w:webHidden/>
              </w:rPr>
              <w:fldChar w:fldCharType="separate"/>
            </w:r>
            <w:r w:rsidR="00DD54B2">
              <w:rPr>
                <w:noProof/>
                <w:webHidden/>
              </w:rPr>
              <w:t>24</w:t>
            </w:r>
            <w:r w:rsidR="00724A54">
              <w:rPr>
                <w:noProof/>
                <w:webHidden/>
              </w:rPr>
              <w:fldChar w:fldCharType="end"/>
            </w:r>
          </w:hyperlink>
        </w:p>
        <w:p w14:paraId="6130F1F5" w14:textId="77777777" w:rsidR="00724A54" w:rsidRDefault="00AD03A8">
          <w:pPr>
            <w:pStyle w:val="TOC1"/>
            <w:tabs>
              <w:tab w:val="right" w:leader="dot" w:pos="9350"/>
            </w:tabs>
            <w:rPr>
              <w:rFonts w:asciiTheme="minorHAnsi" w:hAnsiTheme="minorHAnsi"/>
              <w:noProof/>
              <w:color w:val="auto"/>
              <w:sz w:val="22"/>
              <w:szCs w:val="22"/>
            </w:rPr>
          </w:pPr>
          <w:hyperlink w:anchor="_Toc477860555" w:history="1">
            <w:r w:rsidR="00724A54" w:rsidRPr="006A5AA5">
              <w:rPr>
                <w:rStyle w:val="Hyperlink"/>
                <w:noProof/>
              </w:rPr>
              <w:t>Part 3: Transit Funding and Implementation Options</w:t>
            </w:r>
            <w:r w:rsidR="00724A54">
              <w:rPr>
                <w:noProof/>
                <w:webHidden/>
              </w:rPr>
              <w:tab/>
            </w:r>
            <w:r w:rsidR="00724A54">
              <w:rPr>
                <w:noProof/>
                <w:webHidden/>
              </w:rPr>
              <w:fldChar w:fldCharType="begin"/>
            </w:r>
            <w:r w:rsidR="00724A54">
              <w:rPr>
                <w:noProof/>
                <w:webHidden/>
              </w:rPr>
              <w:instrText xml:space="preserve"> PAGEREF _Toc477860555 \h </w:instrText>
            </w:r>
            <w:r w:rsidR="00724A54">
              <w:rPr>
                <w:noProof/>
                <w:webHidden/>
              </w:rPr>
            </w:r>
            <w:r w:rsidR="00724A54">
              <w:rPr>
                <w:noProof/>
                <w:webHidden/>
              </w:rPr>
              <w:fldChar w:fldCharType="separate"/>
            </w:r>
            <w:r w:rsidR="00DD54B2">
              <w:rPr>
                <w:noProof/>
                <w:webHidden/>
              </w:rPr>
              <w:t>26</w:t>
            </w:r>
            <w:r w:rsidR="00724A54">
              <w:rPr>
                <w:noProof/>
                <w:webHidden/>
              </w:rPr>
              <w:fldChar w:fldCharType="end"/>
            </w:r>
          </w:hyperlink>
        </w:p>
        <w:p w14:paraId="6130F1F6" w14:textId="77777777" w:rsidR="00724A54" w:rsidRDefault="00AD03A8">
          <w:pPr>
            <w:pStyle w:val="TOC2"/>
            <w:tabs>
              <w:tab w:val="right" w:leader="dot" w:pos="9350"/>
            </w:tabs>
            <w:rPr>
              <w:rFonts w:asciiTheme="minorHAnsi" w:hAnsiTheme="minorHAnsi"/>
              <w:noProof/>
              <w:color w:val="auto"/>
              <w:sz w:val="22"/>
              <w:szCs w:val="22"/>
            </w:rPr>
          </w:pPr>
          <w:hyperlink w:anchor="_Toc477860556" w:history="1">
            <w:r w:rsidR="00724A54" w:rsidRPr="006A5AA5">
              <w:rPr>
                <w:rStyle w:val="Hyperlink"/>
                <w:noProof/>
              </w:rPr>
              <w:t>Funding a Transit System</w:t>
            </w:r>
            <w:r w:rsidR="00724A54">
              <w:rPr>
                <w:noProof/>
                <w:webHidden/>
              </w:rPr>
              <w:tab/>
            </w:r>
            <w:r w:rsidR="00724A54">
              <w:rPr>
                <w:noProof/>
                <w:webHidden/>
              </w:rPr>
              <w:fldChar w:fldCharType="begin"/>
            </w:r>
            <w:r w:rsidR="00724A54">
              <w:rPr>
                <w:noProof/>
                <w:webHidden/>
              </w:rPr>
              <w:instrText xml:space="preserve"> PAGEREF _Toc477860556 \h </w:instrText>
            </w:r>
            <w:r w:rsidR="00724A54">
              <w:rPr>
                <w:noProof/>
                <w:webHidden/>
              </w:rPr>
            </w:r>
            <w:r w:rsidR="00724A54">
              <w:rPr>
                <w:noProof/>
                <w:webHidden/>
              </w:rPr>
              <w:fldChar w:fldCharType="separate"/>
            </w:r>
            <w:r w:rsidR="00DD54B2">
              <w:rPr>
                <w:noProof/>
                <w:webHidden/>
              </w:rPr>
              <w:t>26</w:t>
            </w:r>
            <w:r w:rsidR="00724A54">
              <w:rPr>
                <w:noProof/>
                <w:webHidden/>
              </w:rPr>
              <w:fldChar w:fldCharType="end"/>
            </w:r>
          </w:hyperlink>
        </w:p>
        <w:p w14:paraId="6130F1F7" w14:textId="77777777" w:rsidR="00724A54" w:rsidRDefault="00AD03A8">
          <w:pPr>
            <w:pStyle w:val="TOC2"/>
            <w:tabs>
              <w:tab w:val="right" w:leader="dot" w:pos="9350"/>
            </w:tabs>
            <w:rPr>
              <w:rFonts w:asciiTheme="minorHAnsi" w:hAnsiTheme="minorHAnsi"/>
              <w:noProof/>
              <w:color w:val="auto"/>
              <w:sz w:val="22"/>
              <w:szCs w:val="22"/>
            </w:rPr>
          </w:pPr>
          <w:hyperlink w:anchor="_Toc477860557" w:history="1">
            <w:r w:rsidR="00724A54" w:rsidRPr="006A5AA5">
              <w:rPr>
                <w:rStyle w:val="Hyperlink"/>
                <w:noProof/>
              </w:rPr>
              <w:t>Conclusions</w:t>
            </w:r>
            <w:r w:rsidR="00724A54">
              <w:rPr>
                <w:noProof/>
                <w:webHidden/>
              </w:rPr>
              <w:tab/>
            </w:r>
            <w:r w:rsidR="00724A54">
              <w:rPr>
                <w:noProof/>
                <w:webHidden/>
              </w:rPr>
              <w:fldChar w:fldCharType="begin"/>
            </w:r>
            <w:r w:rsidR="00724A54">
              <w:rPr>
                <w:noProof/>
                <w:webHidden/>
              </w:rPr>
              <w:instrText xml:space="preserve"> PAGEREF _Toc477860557 \h </w:instrText>
            </w:r>
            <w:r w:rsidR="00724A54">
              <w:rPr>
                <w:noProof/>
                <w:webHidden/>
              </w:rPr>
            </w:r>
            <w:r w:rsidR="00724A54">
              <w:rPr>
                <w:noProof/>
                <w:webHidden/>
              </w:rPr>
              <w:fldChar w:fldCharType="separate"/>
            </w:r>
            <w:r w:rsidR="00DD54B2">
              <w:rPr>
                <w:noProof/>
                <w:webHidden/>
              </w:rPr>
              <w:t>35</w:t>
            </w:r>
            <w:r w:rsidR="00724A54">
              <w:rPr>
                <w:noProof/>
                <w:webHidden/>
              </w:rPr>
              <w:fldChar w:fldCharType="end"/>
            </w:r>
          </w:hyperlink>
        </w:p>
        <w:p w14:paraId="6130F1F8" w14:textId="77777777" w:rsidR="00724A54" w:rsidRDefault="00AD03A8">
          <w:pPr>
            <w:pStyle w:val="TOC1"/>
            <w:tabs>
              <w:tab w:val="right" w:leader="dot" w:pos="9350"/>
            </w:tabs>
            <w:rPr>
              <w:rFonts w:asciiTheme="minorHAnsi" w:hAnsiTheme="minorHAnsi"/>
              <w:noProof/>
              <w:color w:val="auto"/>
              <w:sz w:val="22"/>
              <w:szCs w:val="22"/>
            </w:rPr>
          </w:pPr>
          <w:hyperlink w:anchor="_Toc477860558" w:history="1">
            <w:r w:rsidR="00724A54" w:rsidRPr="006A5AA5">
              <w:rPr>
                <w:rStyle w:val="Hyperlink"/>
                <w:noProof/>
              </w:rPr>
              <w:t>References:</w:t>
            </w:r>
            <w:r w:rsidR="00724A54">
              <w:rPr>
                <w:noProof/>
                <w:webHidden/>
              </w:rPr>
              <w:tab/>
            </w:r>
            <w:r w:rsidR="00724A54">
              <w:rPr>
                <w:noProof/>
                <w:webHidden/>
              </w:rPr>
              <w:fldChar w:fldCharType="begin"/>
            </w:r>
            <w:r w:rsidR="00724A54">
              <w:rPr>
                <w:noProof/>
                <w:webHidden/>
              </w:rPr>
              <w:instrText xml:space="preserve"> PAGEREF _Toc477860558 \h </w:instrText>
            </w:r>
            <w:r w:rsidR="00724A54">
              <w:rPr>
                <w:noProof/>
                <w:webHidden/>
              </w:rPr>
            </w:r>
            <w:r w:rsidR="00724A54">
              <w:rPr>
                <w:noProof/>
                <w:webHidden/>
              </w:rPr>
              <w:fldChar w:fldCharType="separate"/>
            </w:r>
            <w:r w:rsidR="00DD54B2">
              <w:rPr>
                <w:noProof/>
                <w:webHidden/>
              </w:rPr>
              <w:t>36</w:t>
            </w:r>
            <w:r w:rsidR="00724A54">
              <w:rPr>
                <w:noProof/>
                <w:webHidden/>
              </w:rPr>
              <w:fldChar w:fldCharType="end"/>
            </w:r>
          </w:hyperlink>
        </w:p>
        <w:p w14:paraId="6130F1F9" w14:textId="77777777" w:rsidR="00724A54" w:rsidRDefault="00AD03A8">
          <w:pPr>
            <w:pStyle w:val="TOC1"/>
            <w:tabs>
              <w:tab w:val="right" w:leader="dot" w:pos="9350"/>
            </w:tabs>
            <w:rPr>
              <w:rFonts w:asciiTheme="minorHAnsi" w:hAnsiTheme="minorHAnsi"/>
              <w:noProof/>
              <w:color w:val="auto"/>
              <w:sz w:val="22"/>
              <w:szCs w:val="22"/>
            </w:rPr>
          </w:pPr>
          <w:hyperlink w:anchor="_Toc477860559" w:history="1">
            <w:r w:rsidR="00724A54" w:rsidRPr="006A5AA5">
              <w:rPr>
                <w:rStyle w:val="Hyperlink"/>
                <w:noProof/>
              </w:rPr>
              <w:t>Appendix A: Monthly Ridership Statistics</w:t>
            </w:r>
            <w:r w:rsidR="00724A54">
              <w:rPr>
                <w:noProof/>
                <w:webHidden/>
              </w:rPr>
              <w:tab/>
            </w:r>
            <w:r w:rsidR="00724A54">
              <w:rPr>
                <w:noProof/>
                <w:webHidden/>
              </w:rPr>
              <w:fldChar w:fldCharType="begin"/>
            </w:r>
            <w:r w:rsidR="00724A54">
              <w:rPr>
                <w:noProof/>
                <w:webHidden/>
              </w:rPr>
              <w:instrText xml:space="preserve"> PAGEREF _Toc477860559 \h </w:instrText>
            </w:r>
            <w:r w:rsidR="00724A54">
              <w:rPr>
                <w:noProof/>
                <w:webHidden/>
              </w:rPr>
            </w:r>
            <w:r w:rsidR="00724A54">
              <w:rPr>
                <w:noProof/>
                <w:webHidden/>
              </w:rPr>
              <w:fldChar w:fldCharType="separate"/>
            </w:r>
            <w:r w:rsidR="00DD54B2">
              <w:rPr>
                <w:noProof/>
                <w:webHidden/>
              </w:rPr>
              <w:t>37</w:t>
            </w:r>
            <w:r w:rsidR="00724A54">
              <w:rPr>
                <w:noProof/>
                <w:webHidden/>
              </w:rPr>
              <w:fldChar w:fldCharType="end"/>
            </w:r>
          </w:hyperlink>
        </w:p>
        <w:p w14:paraId="6130F1FA" w14:textId="77777777" w:rsidR="00724A54" w:rsidRDefault="00AD03A8">
          <w:pPr>
            <w:pStyle w:val="TOC1"/>
            <w:tabs>
              <w:tab w:val="right" w:leader="dot" w:pos="9350"/>
            </w:tabs>
            <w:rPr>
              <w:rFonts w:asciiTheme="minorHAnsi" w:hAnsiTheme="minorHAnsi"/>
              <w:noProof/>
              <w:color w:val="auto"/>
              <w:sz w:val="22"/>
              <w:szCs w:val="22"/>
            </w:rPr>
          </w:pPr>
          <w:hyperlink w:anchor="_Toc477860561" w:history="1">
            <w:r w:rsidR="00724A54" w:rsidRPr="006A5AA5">
              <w:rPr>
                <w:rStyle w:val="Hyperlink"/>
                <w:noProof/>
              </w:rPr>
              <w:t>Appendix B: Transit Agency Profiles</w:t>
            </w:r>
            <w:r w:rsidR="00724A54">
              <w:rPr>
                <w:noProof/>
                <w:webHidden/>
              </w:rPr>
              <w:tab/>
            </w:r>
            <w:r w:rsidR="00724A54">
              <w:rPr>
                <w:noProof/>
                <w:webHidden/>
              </w:rPr>
              <w:fldChar w:fldCharType="begin"/>
            </w:r>
            <w:r w:rsidR="00724A54">
              <w:rPr>
                <w:noProof/>
                <w:webHidden/>
              </w:rPr>
              <w:instrText xml:space="preserve"> PAGEREF _Toc477860561 \h </w:instrText>
            </w:r>
            <w:r w:rsidR="00724A54">
              <w:rPr>
                <w:noProof/>
                <w:webHidden/>
              </w:rPr>
            </w:r>
            <w:r w:rsidR="00724A54">
              <w:rPr>
                <w:noProof/>
                <w:webHidden/>
              </w:rPr>
              <w:fldChar w:fldCharType="separate"/>
            </w:r>
            <w:r w:rsidR="00DD54B2">
              <w:rPr>
                <w:noProof/>
                <w:webHidden/>
              </w:rPr>
              <w:t>46</w:t>
            </w:r>
            <w:r w:rsidR="00724A54">
              <w:rPr>
                <w:noProof/>
                <w:webHidden/>
              </w:rPr>
              <w:fldChar w:fldCharType="end"/>
            </w:r>
          </w:hyperlink>
        </w:p>
        <w:p w14:paraId="6130F1FB" w14:textId="77777777" w:rsidR="00724A54" w:rsidRDefault="00AD03A8">
          <w:pPr>
            <w:pStyle w:val="TOC1"/>
            <w:tabs>
              <w:tab w:val="right" w:leader="dot" w:pos="9350"/>
            </w:tabs>
            <w:rPr>
              <w:rFonts w:asciiTheme="minorHAnsi" w:hAnsiTheme="minorHAnsi"/>
              <w:noProof/>
              <w:color w:val="auto"/>
              <w:sz w:val="22"/>
              <w:szCs w:val="22"/>
            </w:rPr>
          </w:pPr>
          <w:hyperlink w:anchor="_Toc477860562" w:history="1">
            <w:r w:rsidR="00724A54" w:rsidRPr="006A5AA5">
              <w:rPr>
                <w:rStyle w:val="Hyperlink"/>
                <w:noProof/>
              </w:rPr>
              <w:t>Appendix C: Other uses of 5307 Capital Funds</w:t>
            </w:r>
            <w:r w:rsidR="00724A54">
              <w:rPr>
                <w:noProof/>
                <w:webHidden/>
              </w:rPr>
              <w:tab/>
            </w:r>
            <w:r w:rsidR="00724A54">
              <w:rPr>
                <w:noProof/>
                <w:webHidden/>
              </w:rPr>
              <w:fldChar w:fldCharType="begin"/>
            </w:r>
            <w:r w:rsidR="00724A54">
              <w:rPr>
                <w:noProof/>
                <w:webHidden/>
              </w:rPr>
              <w:instrText xml:space="preserve"> PAGEREF _Toc477860562 \h </w:instrText>
            </w:r>
            <w:r w:rsidR="00724A54">
              <w:rPr>
                <w:noProof/>
                <w:webHidden/>
              </w:rPr>
            </w:r>
            <w:r w:rsidR="00724A54">
              <w:rPr>
                <w:noProof/>
                <w:webHidden/>
              </w:rPr>
              <w:fldChar w:fldCharType="separate"/>
            </w:r>
            <w:r w:rsidR="00DD54B2">
              <w:rPr>
                <w:noProof/>
                <w:webHidden/>
              </w:rPr>
              <w:t>49</w:t>
            </w:r>
            <w:r w:rsidR="00724A54">
              <w:rPr>
                <w:noProof/>
                <w:webHidden/>
              </w:rPr>
              <w:fldChar w:fldCharType="end"/>
            </w:r>
          </w:hyperlink>
        </w:p>
        <w:p w14:paraId="6130F1FC" w14:textId="77777777" w:rsidR="00724A54" w:rsidRDefault="00AD03A8">
          <w:pPr>
            <w:pStyle w:val="TOC1"/>
            <w:tabs>
              <w:tab w:val="right" w:leader="dot" w:pos="9350"/>
            </w:tabs>
            <w:rPr>
              <w:rFonts w:asciiTheme="minorHAnsi" w:hAnsiTheme="minorHAnsi"/>
              <w:noProof/>
              <w:color w:val="auto"/>
              <w:sz w:val="22"/>
              <w:szCs w:val="22"/>
            </w:rPr>
          </w:pPr>
          <w:hyperlink w:anchor="_Toc477860563" w:history="1">
            <w:r w:rsidR="00724A54" w:rsidRPr="006A5AA5">
              <w:rPr>
                <w:rStyle w:val="Hyperlink"/>
                <w:noProof/>
              </w:rPr>
              <w:t>Appendix D: Local Financial Obligation Breakdowns by Scenario</w:t>
            </w:r>
            <w:r w:rsidR="00724A54">
              <w:rPr>
                <w:noProof/>
                <w:webHidden/>
              </w:rPr>
              <w:tab/>
            </w:r>
            <w:r w:rsidR="00724A54">
              <w:rPr>
                <w:noProof/>
                <w:webHidden/>
              </w:rPr>
              <w:fldChar w:fldCharType="begin"/>
            </w:r>
            <w:r w:rsidR="00724A54">
              <w:rPr>
                <w:noProof/>
                <w:webHidden/>
              </w:rPr>
              <w:instrText xml:space="preserve"> PAGEREF _Toc477860563 \h </w:instrText>
            </w:r>
            <w:r w:rsidR="00724A54">
              <w:rPr>
                <w:noProof/>
                <w:webHidden/>
              </w:rPr>
            </w:r>
            <w:r w:rsidR="00724A54">
              <w:rPr>
                <w:noProof/>
                <w:webHidden/>
              </w:rPr>
              <w:fldChar w:fldCharType="separate"/>
            </w:r>
            <w:r w:rsidR="00DD54B2">
              <w:rPr>
                <w:noProof/>
                <w:webHidden/>
              </w:rPr>
              <w:t>50</w:t>
            </w:r>
            <w:r w:rsidR="00724A54">
              <w:rPr>
                <w:noProof/>
                <w:webHidden/>
              </w:rPr>
              <w:fldChar w:fldCharType="end"/>
            </w:r>
          </w:hyperlink>
        </w:p>
        <w:p w14:paraId="6130F1FD" w14:textId="77777777" w:rsidR="00724A54" w:rsidRDefault="00AD03A8">
          <w:pPr>
            <w:pStyle w:val="TOC1"/>
            <w:tabs>
              <w:tab w:val="right" w:leader="dot" w:pos="9350"/>
            </w:tabs>
            <w:rPr>
              <w:rFonts w:asciiTheme="minorHAnsi" w:hAnsiTheme="minorHAnsi"/>
              <w:noProof/>
              <w:color w:val="auto"/>
              <w:sz w:val="22"/>
              <w:szCs w:val="22"/>
            </w:rPr>
          </w:pPr>
          <w:hyperlink w:anchor="_Toc477860564" w:history="1">
            <w:r w:rsidR="00724A54" w:rsidRPr="006A5AA5">
              <w:rPr>
                <w:rStyle w:val="Hyperlink"/>
                <w:noProof/>
              </w:rPr>
              <w:t>Appendix E: 5 Year Estimated Local Capital and Operation Expense Budgets</w:t>
            </w:r>
            <w:r w:rsidR="00724A54">
              <w:rPr>
                <w:noProof/>
                <w:webHidden/>
              </w:rPr>
              <w:tab/>
            </w:r>
            <w:r w:rsidR="00724A54">
              <w:rPr>
                <w:noProof/>
                <w:webHidden/>
              </w:rPr>
              <w:fldChar w:fldCharType="begin"/>
            </w:r>
            <w:r w:rsidR="00724A54">
              <w:rPr>
                <w:noProof/>
                <w:webHidden/>
              </w:rPr>
              <w:instrText xml:space="preserve"> PAGEREF _Toc477860564 \h </w:instrText>
            </w:r>
            <w:r w:rsidR="00724A54">
              <w:rPr>
                <w:noProof/>
                <w:webHidden/>
              </w:rPr>
            </w:r>
            <w:r w:rsidR="00724A54">
              <w:rPr>
                <w:noProof/>
                <w:webHidden/>
              </w:rPr>
              <w:fldChar w:fldCharType="separate"/>
            </w:r>
            <w:r w:rsidR="00DD54B2">
              <w:rPr>
                <w:noProof/>
                <w:webHidden/>
              </w:rPr>
              <w:t>51</w:t>
            </w:r>
            <w:r w:rsidR="00724A54">
              <w:rPr>
                <w:noProof/>
                <w:webHidden/>
              </w:rPr>
              <w:fldChar w:fldCharType="end"/>
            </w:r>
          </w:hyperlink>
        </w:p>
        <w:p w14:paraId="6130F1FE" w14:textId="77777777" w:rsidR="009C7B8E" w:rsidRDefault="009C7B8E">
          <w:r>
            <w:rPr>
              <w:b/>
              <w:bCs/>
              <w:noProof/>
            </w:rPr>
            <w:fldChar w:fldCharType="end"/>
          </w:r>
        </w:p>
      </w:sdtContent>
    </w:sdt>
    <w:p w14:paraId="6130F1FF" w14:textId="77777777" w:rsidR="009C7B8E" w:rsidRDefault="009C7B8E">
      <w:pPr>
        <w:spacing w:after="200" w:line="276" w:lineRule="auto"/>
        <w:rPr>
          <w:rFonts w:asciiTheme="minorHAnsi" w:hAnsiTheme="minorHAnsi"/>
        </w:rPr>
      </w:pPr>
      <w:r>
        <w:rPr>
          <w:rFonts w:asciiTheme="minorHAnsi" w:hAnsiTheme="minorHAnsi"/>
        </w:rPr>
        <w:br w:type="page"/>
      </w:r>
    </w:p>
    <w:p w14:paraId="6130F200" w14:textId="77777777" w:rsidR="00AA3224" w:rsidRDefault="00AA3224" w:rsidP="009C7B8E">
      <w:pPr>
        <w:pStyle w:val="Heading1"/>
      </w:pPr>
      <w:bookmarkStart w:id="1" w:name="_Toc477860547"/>
      <w:r w:rsidRPr="00D54B42">
        <w:lastRenderedPageBreak/>
        <w:t>Executive Summary</w:t>
      </w:r>
      <w:bookmarkEnd w:id="1"/>
    </w:p>
    <w:p w14:paraId="6130F201" w14:textId="77777777" w:rsidR="00020460" w:rsidRPr="00020460" w:rsidRDefault="00020460" w:rsidP="00020460"/>
    <w:p w14:paraId="6130F202" w14:textId="6BD1DDD0" w:rsidR="006428BD" w:rsidRDefault="00AA3224" w:rsidP="00F20795">
      <w:pPr>
        <w:jc w:val="both"/>
        <w:rPr>
          <w:rFonts w:asciiTheme="minorHAnsi" w:hAnsiTheme="minorHAnsi" w:cs="Times New Roman"/>
        </w:rPr>
      </w:pPr>
      <w:r w:rsidRPr="00D54B42">
        <w:rPr>
          <w:rFonts w:asciiTheme="minorHAnsi" w:hAnsiTheme="minorHAnsi" w:cs="Times New Roman"/>
        </w:rPr>
        <w:t>On October 15, 2015</w:t>
      </w:r>
      <w:r w:rsidR="00455B27">
        <w:rPr>
          <w:rFonts w:asciiTheme="minorHAnsi" w:hAnsiTheme="minorHAnsi" w:cs="Times New Roman"/>
        </w:rPr>
        <w:t>,</w:t>
      </w:r>
      <w:r w:rsidRPr="00D54B42">
        <w:rPr>
          <w:rFonts w:asciiTheme="minorHAnsi" w:hAnsiTheme="minorHAnsi" w:cs="Times New Roman"/>
        </w:rPr>
        <w:t xml:space="preserve"> the Georgia Department of Human Services (DHS), in partnership with the Southern Georgia Regional Commission (SGRC) began a pilot shuttle program geared toward reducing barriers in transportation for those seeking integration into the workforce and full participation in society. By targeting known DHS service sites and clients</w:t>
      </w:r>
      <w:r w:rsidR="00455B27">
        <w:rPr>
          <w:rFonts w:asciiTheme="minorHAnsi" w:hAnsiTheme="minorHAnsi" w:cs="Times New Roman"/>
        </w:rPr>
        <w:t>,</w:t>
      </w:r>
      <w:r w:rsidRPr="00D54B42">
        <w:rPr>
          <w:rFonts w:asciiTheme="minorHAnsi" w:hAnsiTheme="minorHAnsi" w:cs="Times New Roman"/>
        </w:rPr>
        <w:t xml:space="preserve"> as well as the public in Census tracts with high Environmental Justice</w:t>
      </w:r>
      <w:r w:rsidR="002453F8">
        <w:rPr>
          <w:rFonts w:asciiTheme="minorHAnsi" w:hAnsiTheme="minorHAnsi" w:cs="Times New Roman"/>
        </w:rPr>
        <w:t xml:space="preserve"> </w:t>
      </w:r>
      <w:r w:rsidR="007F11F0">
        <w:rPr>
          <w:rFonts w:asciiTheme="minorHAnsi" w:hAnsiTheme="minorHAnsi" w:cs="Times New Roman"/>
        </w:rPr>
        <w:t>(minority and low-income)</w:t>
      </w:r>
      <w:r w:rsidRPr="00D54B42">
        <w:rPr>
          <w:rFonts w:asciiTheme="minorHAnsi" w:hAnsiTheme="minorHAnsi" w:cs="Times New Roman"/>
        </w:rPr>
        <w:t xml:space="preserve"> populations</w:t>
      </w:r>
      <w:r w:rsidR="00455B27">
        <w:rPr>
          <w:rFonts w:asciiTheme="minorHAnsi" w:hAnsiTheme="minorHAnsi" w:cs="Times New Roman"/>
        </w:rPr>
        <w:t>,</w:t>
      </w:r>
      <w:r w:rsidR="00F86CC8">
        <w:rPr>
          <w:rFonts w:asciiTheme="minorHAnsi" w:hAnsiTheme="minorHAnsi" w:cs="Times New Roman"/>
        </w:rPr>
        <w:t xml:space="preserve"> </w:t>
      </w:r>
      <w:r w:rsidRPr="00D54B42">
        <w:rPr>
          <w:rFonts w:asciiTheme="minorHAnsi" w:hAnsiTheme="minorHAnsi" w:cs="Times New Roman"/>
        </w:rPr>
        <w:t xml:space="preserve">the shuttle service began using Federal Transit Administration </w:t>
      </w:r>
      <w:r w:rsidR="00F86CC8">
        <w:rPr>
          <w:rFonts w:asciiTheme="minorHAnsi" w:hAnsiTheme="minorHAnsi" w:cs="Times New Roman"/>
        </w:rPr>
        <w:t xml:space="preserve">5316 Job Access Reverse Commute (JARC) and </w:t>
      </w:r>
      <w:r w:rsidR="00C2265B">
        <w:rPr>
          <w:rFonts w:asciiTheme="minorHAnsi" w:hAnsiTheme="minorHAnsi" w:cs="Times New Roman"/>
        </w:rPr>
        <w:t>5317 “New Freedom”</w:t>
      </w:r>
      <w:r w:rsidRPr="00D54B42">
        <w:rPr>
          <w:rFonts w:asciiTheme="minorHAnsi" w:hAnsiTheme="minorHAnsi" w:cs="Times New Roman"/>
        </w:rPr>
        <w:t xml:space="preserve"> funds to allow the public to ride free of charge. Since its inception, the Pilot Shuttle Program has registered over 1,200 citizens and seen month-over-month increases in average daily ridership and trip </w:t>
      </w:r>
      <w:r w:rsidR="008524AC">
        <w:rPr>
          <w:rFonts w:asciiTheme="minorHAnsi" w:hAnsiTheme="minorHAnsi" w:cs="Times New Roman"/>
        </w:rPr>
        <w:t>numbers</w:t>
      </w:r>
      <w:r w:rsidRPr="00D54B42">
        <w:rPr>
          <w:rFonts w:asciiTheme="minorHAnsi" w:hAnsiTheme="minorHAnsi" w:cs="Times New Roman"/>
        </w:rPr>
        <w:t xml:space="preserve">. During its operation, the Pilot Shuttle Program was recognized with several </w:t>
      </w:r>
      <w:r w:rsidR="008524AC">
        <w:rPr>
          <w:rFonts w:asciiTheme="minorHAnsi" w:hAnsiTheme="minorHAnsi" w:cs="Times New Roman"/>
        </w:rPr>
        <w:t xml:space="preserve">state and </w:t>
      </w:r>
      <w:r w:rsidRPr="00D54B42">
        <w:rPr>
          <w:rFonts w:asciiTheme="minorHAnsi" w:hAnsiTheme="minorHAnsi" w:cs="Times New Roman"/>
        </w:rPr>
        <w:t>national awards in innovation and transportation planning</w:t>
      </w:r>
      <w:r w:rsidR="006428BD" w:rsidRPr="00D54B42">
        <w:rPr>
          <w:rFonts w:asciiTheme="minorHAnsi" w:hAnsiTheme="minorHAnsi" w:cs="Times New Roman"/>
        </w:rPr>
        <w:t xml:space="preserve">. </w:t>
      </w:r>
      <w:r w:rsidR="00E077A3">
        <w:rPr>
          <w:rFonts w:asciiTheme="minorHAnsi" w:hAnsiTheme="minorHAnsi" w:cs="Times New Roman"/>
        </w:rPr>
        <w:t xml:space="preserve">It served 10,146 riders, provided 14,723 trips, and covered 67,701 miles in its 3,873 hours of operation. </w:t>
      </w:r>
      <w:r w:rsidR="006428BD" w:rsidRPr="00D54B42">
        <w:rPr>
          <w:rFonts w:asciiTheme="minorHAnsi" w:hAnsiTheme="minorHAnsi" w:cs="Times New Roman"/>
        </w:rPr>
        <w:t>The following is a report and analysis of the Pilot Shuttle Program which includes ridership statistics, trip counts, popularity of each stop</w:t>
      </w:r>
      <w:r w:rsidR="007F11F0">
        <w:rPr>
          <w:rFonts w:asciiTheme="minorHAnsi" w:hAnsiTheme="minorHAnsi" w:cs="Times New Roman"/>
        </w:rPr>
        <w:t>, shuttle rider survey results</w:t>
      </w:r>
      <w:r w:rsidR="006428BD" w:rsidRPr="00D54B42">
        <w:rPr>
          <w:rFonts w:asciiTheme="minorHAnsi" w:hAnsiTheme="minorHAnsi" w:cs="Times New Roman"/>
        </w:rPr>
        <w:t xml:space="preserve">, as well as the </w:t>
      </w:r>
      <w:r w:rsidR="00923154" w:rsidRPr="00D54B42">
        <w:rPr>
          <w:rFonts w:asciiTheme="minorHAnsi" w:hAnsiTheme="minorHAnsi" w:cs="Times New Roman"/>
        </w:rPr>
        <w:t>estimated cost-benefit of the program</w:t>
      </w:r>
      <w:r w:rsidR="006428BD" w:rsidRPr="00D54B42">
        <w:rPr>
          <w:rFonts w:asciiTheme="minorHAnsi" w:hAnsiTheme="minorHAnsi" w:cs="Times New Roman"/>
        </w:rPr>
        <w:t>.</w:t>
      </w:r>
    </w:p>
    <w:p w14:paraId="6130F203" w14:textId="77777777" w:rsidR="006420F8" w:rsidRDefault="006420F8" w:rsidP="00F20795">
      <w:pPr>
        <w:jc w:val="both"/>
        <w:rPr>
          <w:rFonts w:asciiTheme="minorHAnsi" w:hAnsiTheme="minorHAnsi" w:cs="Times New Roman"/>
        </w:rPr>
      </w:pPr>
    </w:p>
    <w:p w14:paraId="6130F204" w14:textId="77777777" w:rsidR="008524AC" w:rsidRDefault="00D930BF" w:rsidP="00F20795">
      <w:pPr>
        <w:jc w:val="both"/>
        <w:rPr>
          <w:rFonts w:asciiTheme="minorHAnsi" w:hAnsiTheme="minorHAnsi"/>
          <w:szCs w:val="22"/>
        </w:rPr>
      </w:pPr>
      <w:r w:rsidRPr="00CA524C">
        <w:rPr>
          <w:rFonts w:asciiTheme="minorHAnsi" w:hAnsiTheme="minorHAnsi"/>
        </w:rPr>
        <w:t>Utilizing a National Center for Transit Research</w:t>
      </w:r>
      <w:r>
        <w:rPr>
          <w:rFonts w:asciiTheme="minorHAnsi" w:hAnsiTheme="minorHAnsi"/>
        </w:rPr>
        <w:t xml:space="preserve"> (NCTR)</w:t>
      </w:r>
      <w:r w:rsidRPr="00CA524C">
        <w:rPr>
          <w:rFonts w:asciiTheme="minorHAnsi" w:hAnsiTheme="minorHAnsi"/>
        </w:rPr>
        <w:t xml:space="preserve"> Cost-Benefit Analysis of Rural and Small Urban Transit report prepared for the US DOT, an estimation of cost and potential benefits was calculated for the Valdosta-Lowndes </w:t>
      </w:r>
      <w:r w:rsidR="008524AC">
        <w:rPr>
          <w:rFonts w:asciiTheme="minorHAnsi" w:hAnsiTheme="minorHAnsi"/>
        </w:rPr>
        <w:t xml:space="preserve">County </w:t>
      </w:r>
      <w:r w:rsidRPr="00CA524C">
        <w:rPr>
          <w:rFonts w:asciiTheme="minorHAnsi" w:hAnsiTheme="minorHAnsi"/>
        </w:rPr>
        <w:t>area</w:t>
      </w:r>
      <w:r w:rsidR="008524AC">
        <w:rPr>
          <w:rFonts w:asciiTheme="minorHAnsi" w:hAnsiTheme="minorHAnsi"/>
        </w:rPr>
        <w:t xml:space="preserve"> of a permanent public transit system</w:t>
      </w:r>
      <w:r w:rsidRPr="00CA524C">
        <w:rPr>
          <w:rFonts w:asciiTheme="minorHAnsi" w:hAnsiTheme="minorHAnsi"/>
        </w:rPr>
        <w:t xml:space="preserve">, with figures from the Valdosta Transit Implementation Study prepared by Tindale Oliver and the </w:t>
      </w:r>
      <w:r>
        <w:rPr>
          <w:rFonts w:asciiTheme="minorHAnsi" w:hAnsiTheme="minorHAnsi"/>
        </w:rPr>
        <w:t>Valdosta Pilot Shuttle Program. This section provides relevant excerpts from the NCTR report with examples showcasing the formulas and possible costs and benefits for each category</w:t>
      </w:r>
      <w:r w:rsidR="007F11F0">
        <w:rPr>
          <w:rFonts w:asciiTheme="minorHAnsi" w:hAnsiTheme="minorHAnsi"/>
        </w:rPr>
        <w:t xml:space="preserve">. Based on these calculations, the Pilot Shuttle Program has a cost-benefit ratio of </w:t>
      </w:r>
      <w:r w:rsidR="00B24A1D">
        <w:rPr>
          <w:rFonts w:asciiTheme="minorHAnsi" w:hAnsiTheme="minorHAnsi"/>
        </w:rPr>
        <w:t>1.01</w:t>
      </w:r>
      <w:r w:rsidR="007F11F0">
        <w:rPr>
          <w:rFonts w:asciiTheme="minorHAnsi" w:hAnsiTheme="minorHAnsi"/>
        </w:rPr>
        <w:t>, while the Tindale Oliver cos</w:t>
      </w:r>
      <w:r w:rsidR="00B24A1D">
        <w:rPr>
          <w:rFonts w:asciiTheme="minorHAnsi" w:hAnsiTheme="minorHAnsi"/>
        </w:rPr>
        <w:t>t-benefit ratio ranged from 0.81</w:t>
      </w:r>
      <w:r w:rsidR="007F11F0">
        <w:rPr>
          <w:rFonts w:asciiTheme="minorHAnsi" w:hAnsiTheme="minorHAnsi"/>
        </w:rPr>
        <w:t xml:space="preserve"> to </w:t>
      </w:r>
      <w:r w:rsidR="00B24A1D">
        <w:rPr>
          <w:rFonts w:asciiTheme="minorHAnsi" w:hAnsiTheme="minorHAnsi"/>
        </w:rPr>
        <w:t>2.01</w:t>
      </w:r>
      <w:r w:rsidR="007F11F0">
        <w:rPr>
          <w:rFonts w:asciiTheme="minorHAnsi" w:hAnsiTheme="minorHAnsi"/>
        </w:rPr>
        <w:t xml:space="preserve"> based on the low and high estimates used</w:t>
      </w:r>
      <w:r w:rsidR="00F90499">
        <w:rPr>
          <w:rFonts w:asciiTheme="minorHAnsi" w:hAnsiTheme="minorHAnsi"/>
        </w:rPr>
        <w:t>.</w:t>
      </w:r>
      <w:r>
        <w:rPr>
          <w:rFonts w:asciiTheme="minorHAnsi" w:hAnsiTheme="minorHAnsi"/>
        </w:rPr>
        <w:t xml:space="preserve"> </w:t>
      </w:r>
      <w:r>
        <w:rPr>
          <w:rFonts w:asciiTheme="minorHAnsi" w:hAnsiTheme="minorHAnsi"/>
          <w:szCs w:val="22"/>
        </w:rPr>
        <w:t>When</w:t>
      </w:r>
      <w:r w:rsidRPr="00D930BF">
        <w:rPr>
          <w:rFonts w:asciiTheme="minorHAnsi" w:hAnsiTheme="minorHAnsi"/>
          <w:szCs w:val="22"/>
        </w:rPr>
        <w:t xml:space="preserve"> estimated </w:t>
      </w:r>
      <w:r w:rsidR="00037E65">
        <w:rPr>
          <w:rFonts w:asciiTheme="minorHAnsi" w:hAnsiTheme="minorHAnsi"/>
          <w:szCs w:val="22"/>
        </w:rPr>
        <w:t>cost-benefit</w:t>
      </w:r>
      <w:r w:rsidRPr="00D930BF">
        <w:rPr>
          <w:rFonts w:asciiTheme="minorHAnsi" w:hAnsiTheme="minorHAnsi"/>
          <w:szCs w:val="22"/>
        </w:rPr>
        <w:t xml:space="preserve"> ratios </w:t>
      </w:r>
      <w:r>
        <w:rPr>
          <w:rFonts w:asciiTheme="minorHAnsi" w:hAnsiTheme="minorHAnsi"/>
          <w:szCs w:val="22"/>
        </w:rPr>
        <w:t xml:space="preserve">are </w:t>
      </w:r>
      <w:r w:rsidRPr="00D930BF">
        <w:rPr>
          <w:rFonts w:asciiTheme="minorHAnsi" w:hAnsiTheme="minorHAnsi"/>
          <w:szCs w:val="22"/>
        </w:rPr>
        <w:t xml:space="preserve">greater than 1, the results show that the benefits provided by transit services in small urban areas are greater than the costs of providing those services. </w:t>
      </w:r>
    </w:p>
    <w:p w14:paraId="6130F205" w14:textId="77777777" w:rsidR="008524AC" w:rsidRDefault="008524AC" w:rsidP="00F20795">
      <w:pPr>
        <w:jc w:val="both"/>
        <w:rPr>
          <w:rFonts w:asciiTheme="minorHAnsi" w:hAnsiTheme="minorHAnsi"/>
          <w:szCs w:val="22"/>
        </w:rPr>
      </w:pPr>
    </w:p>
    <w:p w14:paraId="6130F206" w14:textId="7336EE8F" w:rsidR="002C7521" w:rsidRDefault="006503A9" w:rsidP="00F20795">
      <w:pPr>
        <w:jc w:val="both"/>
        <w:rPr>
          <w:rFonts w:asciiTheme="minorHAnsi" w:hAnsiTheme="minorHAnsi"/>
          <w:szCs w:val="22"/>
        </w:rPr>
      </w:pPr>
      <w:r>
        <w:rPr>
          <w:rFonts w:asciiTheme="minorHAnsi" w:hAnsiTheme="minorHAnsi"/>
          <w:szCs w:val="22"/>
        </w:rPr>
        <w:t>The</w:t>
      </w:r>
      <w:r w:rsidR="007F11F0">
        <w:rPr>
          <w:rFonts w:asciiTheme="minorHAnsi" w:hAnsiTheme="minorHAnsi"/>
          <w:szCs w:val="22"/>
        </w:rPr>
        <w:t xml:space="preserve"> third section examines the </w:t>
      </w:r>
      <w:r>
        <w:rPr>
          <w:rFonts w:asciiTheme="minorHAnsi" w:hAnsiTheme="minorHAnsi"/>
          <w:szCs w:val="22"/>
        </w:rPr>
        <w:t xml:space="preserve">proposed </w:t>
      </w:r>
      <w:r w:rsidR="007D1E3A">
        <w:rPr>
          <w:rFonts w:asciiTheme="minorHAnsi" w:hAnsiTheme="minorHAnsi"/>
          <w:szCs w:val="22"/>
        </w:rPr>
        <w:t>implementation</w:t>
      </w:r>
      <w:r>
        <w:rPr>
          <w:rFonts w:asciiTheme="minorHAnsi" w:hAnsiTheme="minorHAnsi"/>
          <w:szCs w:val="22"/>
        </w:rPr>
        <w:t>,</w:t>
      </w:r>
      <w:r w:rsidR="007D1E3A">
        <w:rPr>
          <w:rFonts w:asciiTheme="minorHAnsi" w:hAnsiTheme="minorHAnsi"/>
          <w:szCs w:val="22"/>
        </w:rPr>
        <w:t xml:space="preserve"> funding </w:t>
      </w:r>
      <w:r>
        <w:rPr>
          <w:rFonts w:asciiTheme="minorHAnsi" w:hAnsiTheme="minorHAnsi"/>
          <w:szCs w:val="22"/>
        </w:rPr>
        <w:t xml:space="preserve">sources </w:t>
      </w:r>
      <w:r w:rsidR="007D1E3A">
        <w:rPr>
          <w:rFonts w:asciiTheme="minorHAnsi" w:hAnsiTheme="minorHAnsi"/>
          <w:szCs w:val="22"/>
        </w:rPr>
        <w:t xml:space="preserve">(including </w:t>
      </w:r>
      <w:r w:rsidR="00EB1D5F">
        <w:rPr>
          <w:rFonts w:asciiTheme="minorHAnsi" w:hAnsiTheme="minorHAnsi"/>
          <w:szCs w:val="22"/>
        </w:rPr>
        <w:t xml:space="preserve">5307 Urban Area Transit funds, Purchase of Service contracts, the </w:t>
      </w:r>
      <w:r w:rsidR="007F11F0">
        <w:rPr>
          <w:rFonts w:asciiTheme="minorHAnsi" w:hAnsiTheme="minorHAnsi"/>
          <w:szCs w:val="22"/>
        </w:rPr>
        <w:t>Capital Cost of Contracting</w:t>
      </w:r>
      <w:r w:rsidR="00EB1D5F">
        <w:rPr>
          <w:rFonts w:asciiTheme="minorHAnsi" w:hAnsiTheme="minorHAnsi"/>
          <w:szCs w:val="22"/>
        </w:rPr>
        <w:t>,</w:t>
      </w:r>
      <w:r w:rsidR="001F4C43">
        <w:rPr>
          <w:rFonts w:asciiTheme="minorHAnsi" w:hAnsiTheme="minorHAnsi"/>
          <w:szCs w:val="22"/>
        </w:rPr>
        <w:t xml:space="preserve"> and other</w:t>
      </w:r>
      <w:r w:rsidR="007F11F0">
        <w:rPr>
          <w:rFonts w:asciiTheme="minorHAnsi" w:hAnsiTheme="minorHAnsi"/>
          <w:szCs w:val="22"/>
        </w:rPr>
        <w:t xml:space="preserve"> options</w:t>
      </w:r>
      <w:r w:rsidR="001F4C43">
        <w:rPr>
          <w:rFonts w:asciiTheme="minorHAnsi" w:hAnsiTheme="minorHAnsi"/>
          <w:szCs w:val="22"/>
        </w:rPr>
        <w:t>)</w:t>
      </w:r>
      <w:r w:rsidR="007F11F0">
        <w:rPr>
          <w:rFonts w:asciiTheme="minorHAnsi" w:hAnsiTheme="minorHAnsi"/>
          <w:szCs w:val="22"/>
        </w:rPr>
        <w:t xml:space="preserve"> and the </w:t>
      </w:r>
      <w:r>
        <w:rPr>
          <w:rFonts w:asciiTheme="minorHAnsi" w:hAnsiTheme="minorHAnsi"/>
          <w:szCs w:val="22"/>
        </w:rPr>
        <w:t>potential</w:t>
      </w:r>
      <w:r w:rsidR="007F11F0">
        <w:rPr>
          <w:rFonts w:asciiTheme="minorHAnsi" w:hAnsiTheme="minorHAnsi"/>
          <w:szCs w:val="22"/>
        </w:rPr>
        <w:t xml:space="preserve"> partnerships with third party transportation networking companies as suggested in the Tindale Oliver Transit Implementation report.</w:t>
      </w:r>
      <w:r w:rsidR="00F371B1">
        <w:rPr>
          <w:rFonts w:asciiTheme="minorHAnsi" w:hAnsiTheme="minorHAnsi"/>
          <w:szCs w:val="22"/>
        </w:rPr>
        <w:t xml:space="preserve"> </w:t>
      </w:r>
      <w:r w:rsidR="00671A09">
        <w:rPr>
          <w:rFonts w:asciiTheme="minorHAnsi" w:hAnsiTheme="minorHAnsi"/>
          <w:szCs w:val="22"/>
        </w:rPr>
        <w:t xml:space="preserve">Potential costs and funding options </w:t>
      </w:r>
      <w:r>
        <w:rPr>
          <w:rFonts w:asciiTheme="minorHAnsi" w:hAnsiTheme="minorHAnsi"/>
          <w:szCs w:val="22"/>
        </w:rPr>
        <w:t>are</w:t>
      </w:r>
      <w:r w:rsidR="00671A09">
        <w:rPr>
          <w:rFonts w:asciiTheme="minorHAnsi" w:hAnsiTheme="minorHAnsi"/>
          <w:szCs w:val="22"/>
        </w:rPr>
        <w:t xml:space="preserve"> explored using statistics and figures from </w:t>
      </w:r>
      <w:r w:rsidR="00EB1D5F">
        <w:rPr>
          <w:rFonts w:asciiTheme="minorHAnsi" w:hAnsiTheme="minorHAnsi"/>
          <w:szCs w:val="22"/>
        </w:rPr>
        <w:t>the previous chapters of this</w:t>
      </w:r>
      <w:r w:rsidR="00671A09">
        <w:rPr>
          <w:rFonts w:asciiTheme="minorHAnsi" w:hAnsiTheme="minorHAnsi"/>
          <w:szCs w:val="22"/>
        </w:rPr>
        <w:t xml:space="preserve"> report.</w:t>
      </w:r>
    </w:p>
    <w:p w14:paraId="6130F207" w14:textId="77777777" w:rsidR="008524AC" w:rsidRPr="00AA3224" w:rsidRDefault="00AA3224" w:rsidP="00F20795">
      <w:pPr>
        <w:jc w:val="both"/>
      </w:pPr>
      <w:r w:rsidRPr="00AA3224">
        <w:rPr>
          <w:highlight w:val="yellow"/>
        </w:rPr>
        <w:br w:type="page"/>
      </w:r>
    </w:p>
    <w:p w14:paraId="6130F208" w14:textId="77777777" w:rsidR="001B18BB" w:rsidRPr="007D1E3A" w:rsidRDefault="007D1E3A" w:rsidP="007D1E3A">
      <w:pPr>
        <w:pStyle w:val="Heading1"/>
      </w:pPr>
      <w:bookmarkStart w:id="2" w:name="_Toc477860548"/>
      <w:r w:rsidRPr="007D1E3A">
        <w:lastRenderedPageBreak/>
        <w:t xml:space="preserve">Part 1: </w:t>
      </w:r>
      <w:r w:rsidR="005C57B0" w:rsidRPr="007D1E3A">
        <w:t>The Pilot Shuttle Program</w:t>
      </w:r>
      <w:r w:rsidRPr="007D1E3A">
        <w:t xml:space="preserve"> Evaluation</w:t>
      </w:r>
      <w:bookmarkEnd w:id="2"/>
    </w:p>
    <w:p w14:paraId="6130F209" w14:textId="77777777" w:rsidR="009C7B8E" w:rsidRPr="009C7B8E" w:rsidRDefault="009C7B8E" w:rsidP="009C7B8E"/>
    <w:p w14:paraId="6130F20A" w14:textId="77777777" w:rsidR="00D4587B" w:rsidRDefault="00582849" w:rsidP="00F20795">
      <w:pPr>
        <w:jc w:val="both"/>
        <w:rPr>
          <w:rFonts w:asciiTheme="minorHAnsi" w:hAnsiTheme="minorHAnsi"/>
        </w:rPr>
      </w:pPr>
      <w:r w:rsidRPr="00572FF8">
        <w:rPr>
          <w:rFonts w:asciiTheme="minorHAnsi" w:hAnsiTheme="minorHAnsi"/>
        </w:rPr>
        <w:t>Aside from Valdosta State University’s on-campus bus service, Valdosta has not had fixed-route public transit since 1963, when a locally owned, private-sector bus company ceased its transit operations.</w:t>
      </w:r>
      <w:r w:rsidR="00D14BAE">
        <w:rPr>
          <w:rFonts w:asciiTheme="minorHAnsi" w:hAnsiTheme="minorHAnsi"/>
        </w:rPr>
        <w:t xml:space="preserve"> There are other transportation options, including the </w:t>
      </w:r>
      <w:r w:rsidR="007F11F0">
        <w:rPr>
          <w:rFonts w:asciiTheme="minorHAnsi" w:hAnsiTheme="minorHAnsi"/>
        </w:rPr>
        <w:t xml:space="preserve">Lowndes County </w:t>
      </w:r>
      <w:r w:rsidR="00D14BAE">
        <w:rPr>
          <w:rFonts w:asciiTheme="minorHAnsi" w:hAnsiTheme="minorHAnsi"/>
        </w:rPr>
        <w:t xml:space="preserve">Public Transit that operates a demand-response service with </w:t>
      </w:r>
      <w:r w:rsidR="00BE39CB" w:rsidRPr="0094632B">
        <w:rPr>
          <w:rFonts w:asciiTheme="minorHAnsi" w:hAnsiTheme="minorHAnsi"/>
        </w:rPr>
        <w:t xml:space="preserve">Federal Transit Administration </w:t>
      </w:r>
      <w:r w:rsidR="00BE39CB">
        <w:rPr>
          <w:rFonts w:asciiTheme="minorHAnsi" w:hAnsiTheme="minorHAnsi"/>
        </w:rPr>
        <w:t xml:space="preserve">(FTA) </w:t>
      </w:r>
      <w:r w:rsidR="00D14BAE">
        <w:rPr>
          <w:rFonts w:asciiTheme="minorHAnsi" w:hAnsiTheme="minorHAnsi"/>
        </w:rPr>
        <w:t>Section 5311 Rural Transit funds, and several taxi and private transportation companies</w:t>
      </w:r>
      <w:r w:rsidR="007F11F0">
        <w:rPr>
          <w:rFonts w:asciiTheme="minorHAnsi" w:hAnsiTheme="minorHAnsi"/>
        </w:rPr>
        <w:t>.</w:t>
      </w:r>
      <w:r w:rsidRPr="00572FF8">
        <w:rPr>
          <w:rFonts w:asciiTheme="minorHAnsi" w:hAnsiTheme="minorHAnsi"/>
        </w:rPr>
        <w:t xml:space="preserve"> To begin exploring the feasibility of restoring fixed-route transit to Valdosta, </w:t>
      </w:r>
      <w:r w:rsidR="005C57B0">
        <w:rPr>
          <w:rFonts w:asciiTheme="minorHAnsi" w:hAnsiTheme="minorHAnsi"/>
        </w:rPr>
        <w:t>the Southern Georgia Regional Commission (</w:t>
      </w:r>
      <w:r w:rsidRPr="00572FF8">
        <w:rPr>
          <w:rFonts w:asciiTheme="minorHAnsi" w:hAnsiTheme="minorHAnsi"/>
        </w:rPr>
        <w:t>SGRC</w:t>
      </w:r>
      <w:r w:rsidR="005C57B0">
        <w:rPr>
          <w:rFonts w:asciiTheme="minorHAnsi" w:hAnsiTheme="minorHAnsi"/>
        </w:rPr>
        <w:t>)</w:t>
      </w:r>
      <w:r w:rsidR="005B145E" w:rsidRPr="005B145E">
        <w:t xml:space="preserve"> </w:t>
      </w:r>
      <w:r w:rsidR="005B145E" w:rsidRPr="005B145E">
        <w:rPr>
          <w:rFonts w:asciiTheme="minorHAnsi" w:hAnsiTheme="minorHAnsi"/>
        </w:rPr>
        <w:t xml:space="preserve">in partnership with the Georgia Department of Human Services (DHS) </w:t>
      </w:r>
      <w:r w:rsidRPr="00572FF8">
        <w:rPr>
          <w:rFonts w:asciiTheme="minorHAnsi" w:hAnsiTheme="minorHAnsi"/>
        </w:rPr>
        <w:t>launched a “pilot shuttle” service in October</w:t>
      </w:r>
      <w:r w:rsidR="005C57B0">
        <w:rPr>
          <w:rFonts w:asciiTheme="minorHAnsi" w:hAnsiTheme="minorHAnsi"/>
        </w:rPr>
        <w:t xml:space="preserve"> of</w:t>
      </w:r>
      <w:r w:rsidRPr="00572FF8">
        <w:rPr>
          <w:rFonts w:asciiTheme="minorHAnsi" w:hAnsiTheme="minorHAnsi"/>
        </w:rPr>
        <w:t xml:space="preserve"> 2015. This </w:t>
      </w:r>
      <w:r w:rsidR="005B145E">
        <w:rPr>
          <w:rFonts w:asciiTheme="minorHAnsi" w:hAnsiTheme="minorHAnsi"/>
        </w:rPr>
        <w:t>was</w:t>
      </w:r>
      <w:r w:rsidRPr="00572FF8">
        <w:rPr>
          <w:rFonts w:asciiTheme="minorHAnsi" w:hAnsiTheme="minorHAnsi"/>
        </w:rPr>
        <w:t xml:space="preserve"> a single-vehicle fixed-route service, using </w:t>
      </w:r>
      <w:r w:rsidR="005C57B0" w:rsidRPr="0094632B">
        <w:rPr>
          <w:rFonts w:asciiTheme="minorHAnsi" w:hAnsiTheme="minorHAnsi"/>
        </w:rPr>
        <w:t>F</w:t>
      </w:r>
      <w:r w:rsidR="00BE39CB">
        <w:rPr>
          <w:rFonts w:asciiTheme="minorHAnsi" w:hAnsiTheme="minorHAnsi"/>
        </w:rPr>
        <w:t xml:space="preserve">TA </w:t>
      </w:r>
      <w:r w:rsidRPr="00572FF8">
        <w:rPr>
          <w:rFonts w:asciiTheme="minorHAnsi" w:hAnsiTheme="minorHAnsi"/>
        </w:rPr>
        <w:t xml:space="preserve">Section </w:t>
      </w:r>
      <w:r w:rsidR="007F11F0">
        <w:rPr>
          <w:rFonts w:asciiTheme="minorHAnsi" w:hAnsiTheme="minorHAnsi"/>
        </w:rPr>
        <w:t xml:space="preserve">5316 </w:t>
      </w:r>
      <w:r w:rsidR="002453F8">
        <w:rPr>
          <w:rFonts w:asciiTheme="minorHAnsi" w:hAnsiTheme="minorHAnsi" w:cs="Times New Roman"/>
        </w:rPr>
        <w:t xml:space="preserve">Job Access Reverse Commute (JARC) and </w:t>
      </w:r>
      <w:r w:rsidR="002453F8" w:rsidRPr="00D54B42">
        <w:rPr>
          <w:rFonts w:asciiTheme="minorHAnsi" w:hAnsiTheme="minorHAnsi" w:cs="Times New Roman"/>
        </w:rPr>
        <w:t>5317 ‘New Freedom</w:t>
      </w:r>
      <w:r w:rsidR="00C2265B">
        <w:rPr>
          <w:rFonts w:asciiTheme="minorHAnsi" w:hAnsiTheme="minorHAnsi" w:cs="Times New Roman"/>
        </w:rPr>
        <w:t>”</w:t>
      </w:r>
      <w:r w:rsidR="002453F8" w:rsidRPr="00D54B42">
        <w:rPr>
          <w:rFonts w:asciiTheme="minorHAnsi" w:hAnsiTheme="minorHAnsi" w:cs="Times New Roman"/>
        </w:rPr>
        <w:t xml:space="preserve"> </w:t>
      </w:r>
      <w:r w:rsidR="005B145E">
        <w:rPr>
          <w:rFonts w:asciiTheme="minorHAnsi" w:hAnsiTheme="minorHAnsi"/>
        </w:rPr>
        <w:t xml:space="preserve">funding awarded to SGRC from </w:t>
      </w:r>
      <w:r w:rsidR="002330EF">
        <w:rPr>
          <w:rFonts w:asciiTheme="minorHAnsi" w:hAnsiTheme="minorHAnsi"/>
        </w:rPr>
        <w:t>DHS</w:t>
      </w:r>
      <w:r w:rsidR="002330EF" w:rsidRPr="00572FF8">
        <w:rPr>
          <w:rFonts w:asciiTheme="minorHAnsi" w:hAnsiTheme="minorHAnsi"/>
        </w:rPr>
        <w:t xml:space="preserve"> that</w:t>
      </w:r>
      <w:r w:rsidRPr="00572FF8">
        <w:rPr>
          <w:rFonts w:asciiTheme="minorHAnsi" w:hAnsiTheme="minorHAnsi"/>
        </w:rPr>
        <w:t xml:space="preserve"> </w:t>
      </w:r>
      <w:r w:rsidR="0094632B">
        <w:rPr>
          <w:rFonts w:asciiTheme="minorHAnsi" w:hAnsiTheme="minorHAnsi"/>
        </w:rPr>
        <w:t>operated</w:t>
      </w:r>
      <w:r w:rsidRPr="00572FF8">
        <w:rPr>
          <w:rFonts w:asciiTheme="minorHAnsi" w:hAnsiTheme="minorHAnsi"/>
        </w:rPr>
        <w:t xml:space="preserve"> through December 2016. </w:t>
      </w:r>
    </w:p>
    <w:p w14:paraId="6130F20B" w14:textId="77777777" w:rsidR="00D4587B" w:rsidRDefault="00D4587B" w:rsidP="00F20795">
      <w:pPr>
        <w:jc w:val="both"/>
        <w:rPr>
          <w:rFonts w:asciiTheme="minorHAnsi" w:hAnsiTheme="minorHAnsi"/>
        </w:rPr>
      </w:pPr>
    </w:p>
    <w:p w14:paraId="6130F20C" w14:textId="77777777" w:rsidR="00767738" w:rsidRDefault="00767738" w:rsidP="00E077A3">
      <w:pPr>
        <w:jc w:val="center"/>
        <w:rPr>
          <w:rFonts w:asciiTheme="minorHAnsi" w:hAnsiTheme="minorHAnsi"/>
        </w:rPr>
      </w:pPr>
      <w:r>
        <w:rPr>
          <w:rFonts w:asciiTheme="minorHAnsi" w:hAnsiTheme="minorHAnsi"/>
          <w:noProof/>
        </w:rPr>
        <w:drawing>
          <wp:inline distT="0" distB="0" distL="0" distR="0" wp14:anchorId="6130F57E" wp14:editId="6130F57F">
            <wp:extent cx="2397607" cy="2040517"/>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le 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97607" cy="2040517"/>
                    </a:xfrm>
                    <a:prstGeom prst="rect">
                      <a:avLst/>
                    </a:prstGeom>
                  </pic:spPr>
                </pic:pic>
              </a:graphicData>
            </a:graphic>
          </wp:inline>
        </w:drawing>
      </w:r>
    </w:p>
    <w:p w14:paraId="6130F20D" w14:textId="77777777" w:rsidR="00767738" w:rsidRDefault="00767738" w:rsidP="00F20795">
      <w:pPr>
        <w:jc w:val="both"/>
        <w:rPr>
          <w:rFonts w:asciiTheme="minorHAnsi" w:hAnsiTheme="minorHAnsi"/>
        </w:rPr>
      </w:pPr>
    </w:p>
    <w:p w14:paraId="6130F20E" w14:textId="77777777" w:rsidR="005C57B0" w:rsidRDefault="00D4587B" w:rsidP="00F20795">
      <w:pPr>
        <w:jc w:val="both"/>
        <w:rPr>
          <w:rFonts w:asciiTheme="minorHAnsi" w:hAnsiTheme="minorHAnsi"/>
        </w:rPr>
      </w:pPr>
      <w:r w:rsidRPr="00D4587B">
        <w:rPr>
          <w:rFonts w:asciiTheme="minorHAnsi" w:hAnsiTheme="minorHAnsi"/>
        </w:rPr>
        <w:t xml:space="preserve">The shuttle route was selected based on an Environmental Justice Study conducted by students at Valdosta State University in 2015, which examined vehicular access, English proficiency, age </w:t>
      </w:r>
      <w:r>
        <w:rPr>
          <w:rFonts w:asciiTheme="minorHAnsi" w:hAnsiTheme="minorHAnsi"/>
        </w:rPr>
        <w:t>d</w:t>
      </w:r>
      <w:r w:rsidRPr="00D4587B">
        <w:rPr>
          <w:rFonts w:asciiTheme="minorHAnsi" w:hAnsiTheme="minorHAnsi"/>
        </w:rPr>
        <w:t xml:space="preserve">istribution, income, poverty, race, and educational attainment as defined and measured by the U.S. Census. By targeting </w:t>
      </w:r>
      <w:r>
        <w:rPr>
          <w:rFonts w:asciiTheme="minorHAnsi" w:hAnsiTheme="minorHAnsi"/>
        </w:rPr>
        <w:t>existing</w:t>
      </w:r>
      <w:r w:rsidRPr="00D4587B">
        <w:rPr>
          <w:rFonts w:asciiTheme="minorHAnsi" w:hAnsiTheme="minorHAnsi"/>
        </w:rPr>
        <w:t xml:space="preserve"> DHS service centers and clients as well as the public in Census tracts with high Environmental Justice populations</w:t>
      </w:r>
      <w:r>
        <w:rPr>
          <w:rFonts w:asciiTheme="minorHAnsi" w:hAnsiTheme="minorHAnsi"/>
        </w:rPr>
        <w:t>,</w:t>
      </w:r>
      <w:r w:rsidRPr="00D4587B">
        <w:rPr>
          <w:rFonts w:asciiTheme="minorHAnsi" w:hAnsiTheme="minorHAnsi"/>
        </w:rPr>
        <w:t xml:space="preserve"> the shuttle service </w:t>
      </w:r>
      <w:r>
        <w:rPr>
          <w:rFonts w:asciiTheme="minorHAnsi" w:hAnsiTheme="minorHAnsi"/>
        </w:rPr>
        <w:t>met the guidelines of the FTA funds, allowing</w:t>
      </w:r>
      <w:r w:rsidRPr="00D4587B">
        <w:rPr>
          <w:rFonts w:asciiTheme="minorHAnsi" w:hAnsiTheme="minorHAnsi"/>
        </w:rPr>
        <w:t xml:space="preserve"> the public to ride free of charge.</w:t>
      </w:r>
      <w:r w:rsidRPr="00572FF8">
        <w:rPr>
          <w:rFonts w:asciiTheme="minorHAnsi" w:hAnsiTheme="minorHAnsi"/>
        </w:rPr>
        <w:t xml:space="preserve"> </w:t>
      </w:r>
      <w:r w:rsidR="001F762C">
        <w:rPr>
          <w:rFonts w:asciiTheme="minorHAnsi" w:hAnsiTheme="minorHAnsi"/>
        </w:rPr>
        <w:t xml:space="preserve">During its tenure, the shuttle experienced 3 distinct route variations, in part </w:t>
      </w:r>
      <w:r w:rsidR="008524AC">
        <w:rPr>
          <w:rFonts w:asciiTheme="minorHAnsi" w:hAnsiTheme="minorHAnsi"/>
        </w:rPr>
        <w:t xml:space="preserve">due </w:t>
      </w:r>
      <w:r w:rsidR="001F762C">
        <w:rPr>
          <w:rFonts w:asciiTheme="minorHAnsi" w:hAnsiTheme="minorHAnsi"/>
        </w:rPr>
        <w:t xml:space="preserve">to rider feedback, changes in operating hours, and available funding from DHS. </w:t>
      </w:r>
      <w:r w:rsidR="00582849" w:rsidRPr="00572FF8">
        <w:rPr>
          <w:rFonts w:asciiTheme="minorHAnsi" w:hAnsiTheme="minorHAnsi"/>
        </w:rPr>
        <w:t xml:space="preserve">Even though this service </w:t>
      </w:r>
      <w:r w:rsidR="0094632B">
        <w:rPr>
          <w:rFonts w:asciiTheme="minorHAnsi" w:hAnsiTheme="minorHAnsi"/>
        </w:rPr>
        <w:t>was</w:t>
      </w:r>
      <w:r w:rsidR="00582849" w:rsidRPr="00572FF8">
        <w:rPr>
          <w:rFonts w:asciiTheme="minorHAnsi" w:hAnsiTheme="minorHAnsi"/>
        </w:rPr>
        <w:t xml:space="preserve"> </w:t>
      </w:r>
      <w:r>
        <w:rPr>
          <w:rFonts w:asciiTheme="minorHAnsi" w:hAnsiTheme="minorHAnsi"/>
        </w:rPr>
        <w:t xml:space="preserve">ultimately </w:t>
      </w:r>
      <w:r w:rsidR="00582849" w:rsidRPr="00572FF8">
        <w:rPr>
          <w:rFonts w:asciiTheme="minorHAnsi" w:hAnsiTheme="minorHAnsi"/>
        </w:rPr>
        <w:t xml:space="preserve">limited to one vehicle running a single loop on 90-minute headways, its ridership </w:t>
      </w:r>
      <w:r w:rsidR="002C59E0">
        <w:rPr>
          <w:rFonts w:asciiTheme="minorHAnsi" w:hAnsiTheme="minorHAnsi"/>
        </w:rPr>
        <w:t>grew</w:t>
      </w:r>
      <w:r w:rsidR="00582849" w:rsidRPr="00572FF8">
        <w:rPr>
          <w:rFonts w:asciiTheme="minorHAnsi" w:hAnsiTheme="minorHAnsi"/>
        </w:rPr>
        <w:t xml:space="preserve"> steadily, and indeed has helped illustrate the viability of</w:t>
      </w:r>
      <w:r w:rsidR="008524AC">
        <w:rPr>
          <w:rFonts w:asciiTheme="minorHAnsi" w:hAnsiTheme="minorHAnsi"/>
        </w:rPr>
        <w:t xml:space="preserve"> permanent public </w:t>
      </w:r>
      <w:r w:rsidR="00582849" w:rsidRPr="00572FF8">
        <w:rPr>
          <w:rFonts w:asciiTheme="minorHAnsi" w:hAnsiTheme="minorHAnsi"/>
        </w:rPr>
        <w:t>transit in Valdosta.</w:t>
      </w:r>
    </w:p>
    <w:p w14:paraId="6130F20F" w14:textId="77777777" w:rsidR="005C57B0" w:rsidRDefault="005C57B0" w:rsidP="00F20795">
      <w:pPr>
        <w:jc w:val="both"/>
        <w:rPr>
          <w:rFonts w:asciiTheme="minorHAnsi" w:hAnsiTheme="minorHAnsi"/>
        </w:rPr>
      </w:pPr>
    </w:p>
    <w:p w14:paraId="6130F210" w14:textId="77777777" w:rsidR="008E6014" w:rsidRDefault="008E6014" w:rsidP="00F20795">
      <w:pPr>
        <w:jc w:val="both"/>
        <w:rPr>
          <w:rFonts w:asciiTheme="minorHAnsi" w:hAnsiTheme="minorHAnsi"/>
        </w:rPr>
      </w:pPr>
      <w:r>
        <w:rPr>
          <w:rFonts w:asciiTheme="minorHAnsi" w:hAnsiTheme="minorHAnsi"/>
        </w:rPr>
        <w:t xml:space="preserve">The initial </w:t>
      </w:r>
      <w:r w:rsidR="00E1058E">
        <w:rPr>
          <w:rFonts w:asciiTheme="minorHAnsi" w:hAnsiTheme="minorHAnsi"/>
        </w:rPr>
        <w:t>shuttle route</w:t>
      </w:r>
      <w:r>
        <w:rPr>
          <w:rFonts w:asciiTheme="minorHAnsi" w:hAnsiTheme="minorHAnsi"/>
        </w:rPr>
        <w:t xml:space="preserve"> focused on providing residents in the neighborhoods southeast of downtown Valdosta access to </w:t>
      </w:r>
      <w:r w:rsidR="00E1058E">
        <w:rPr>
          <w:rFonts w:asciiTheme="minorHAnsi" w:hAnsiTheme="minorHAnsi"/>
        </w:rPr>
        <w:t xml:space="preserve">the major </w:t>
      </w:r>
      <w:r>
        <w:rPr>
          <w:rFonts w:asciiTheme="minorHAnsi" w:hAnsiTheme="minorHAnsi"/>
        </w:rPr>
        <w:t>economic activity centers</w:t>
      </w:r>
      <w:r w:rsidR="00E1058E">
        <w:rPr>
          <w:rFonts w:asciiTheme="minorHAnsi" w:hAnsiTheme="minorHAnsi"/>
        </w:rPr>
        <w:t xml:space="preserve"> located North and West of downtown. T</w:t>
      </w:r>
      <w:r>
        <w:rPr>
          <w:rFonts w:asciiTheme="minorHAnsi" w:hAnsiTheme="minorHAnsi"/>
        </w:rPr>
        <w:t>he VSU Environmental Study indicated th</w:t>
      </w:r>
      <w:r w:rsidR="00E1058E">
        <w:rPr>
          <w:rFonts w:asciiTheme="minorHAnsi" w:hAnsiTheme="minorHAnsi"/>
        </w:rPr>
        <w:t xml:space="preserve">ese areas as having the highest </w:t>
      </w:r>
      <w:r w:rsidR="005C57B0">
        <w:rPr>
          <w:rFonts w:asciiTheme="minorHAnsi" w:hAnsiTheme="minorHAnsi"/>
        </w:rPr>
        <w:t>concentrations</w:t>
      </w:r>
      <w:r w:rsidR="00E1058E">
        <w:rPr>
          <w:rFonts w:asciiTheme="minorHAnsi" w:hAnsiTheme="minorHAnsi"/>
        </w:rPr>
        <w:t xml:space="preserve"> of</w:t>
      </w:r>
      <w:r w:rsidR="00C71C41">
        <w:rPr>
          <w:rFonts w:asciiTheme="minorHAnsi" w:hAnsiTheme="minorHAnsi"/>
        </w:rPr>
        <w:t xml:space="preserve"> elderly households,</w:t>
      </w:r>
      <w:r w:rsidR="00E1058E">
        <w:rPr>
          <w:rFonts w:asciiTheme="minorHAnsi" w:hAnsiTheme="minorHAnsi"/>
        </w:rPr>
        <w:t xml:space="preserve"> </w:t>
      </w:r>
      <w:r w:rsidR="005C57B0">
        <w:rPr>
          <w:rFonts w:asciiTheme="minorHAnsi" w:hAnsiTheme="minorHAnsi"/>
        </w:rPr>
        <w:t xml:space="preserve">houses with </w:t>
      </w:r>
      <w:r w:rsidR="00E1058E">
        <w:rPr>
          <w:rFonts w:asciiTheme="minorHAnsi" w:hAnsiTheme="minorHAnsi"/>
        </w:rPr>
        <w:t>no vehicular access</w:t>
      </w:r>
      <w:r w:rsidR="00C71C41">
        <w:rPr>
          <w:rFonts w:asciiTheme="minorHAnsi" w:hAnsiTheme="minorHAnsi"/>
        </w:rPr>
        <w:t>,</w:t>
      </w:r>
      <w:r w:rsidR="00E1058E">
        <w:rPr>
          <w:rFonts w:asciiTheme="minorHAnsi" w:hAnsiTheme="minorHAnsi"/>
        </w:rPr>
        <w:t xml:space="preserve"> and </w:t>
      </w:r>
      <w:r w:rsidR="005C57B0">
        <w:rPr>
          <w:rFonts w:asciiTheme="minorHAnsi" w:hAnsiTheme="minorHAnsi"/>
        </w:rPr>
        <w:t>low levels of income</w:t>
      </w:r>
      <w:r w:rsidR="00E1058E">
        <w:rPr>
          <w:rFonts w:asciiTheme="minorHAnsi" w:hAnsiTheme="minorHAnsi"/>
        </w:rPr>
        <w:t xml:space="preserve">. </w:t>
      </w:r>
    </w:p>
    <w:p w14:paraId="6130F211" w14:textId="77777777" w:rsidR="00D14BAE" w:rsidRDefault="00D14BAE" w:rsidP="00F20795">
      <w:pPr>
        <w:jc w:val="both"/>
        <w:rPr>
          <w:rFonts w:asciiTheme="minorHAnsi" w:hAnsiTheme="minorHAnsi"/>
        </w:rPr>
      </w:pPr>
    </w:p>
    <w:p w14:paraId="6130F212" w14:textId="77777777" w:rsidR="00ED10A1" w:rsidRDefault="00ED10A1" w:rsidP="00F20795">
      <w:pPr>
        <w:jc w:val="both"/>
        <w:rPr>
          <w:rFonts w:asciiTheme="minorHAnsi" w:hAnsiTheme="minorHAnsi"/>
        </w:rPr>
      </w:pPr>
    </w:p>
    <w:p w14:paraId="6130F213" w14:textId="77777777" w:rsidR="00D14BAE" w:rsidRDefault="00D14BAE" w:rsidP="00F20795">
      <w:pPr>
        <w:jc w:val="both"/>
        <w:rPr>
          <w:rFonts w:asciiTheme="minorHAnsi" w:hAnsiTheme="minorHAnsi"/>
        </w:rPr>
      </w:pPr>
      <w:r>
        <w:rPr>
          <w:rFonts w:asciiTheme="minorHAnsi" w:hAnsiTheme="minorHAnsi"/>
        </w:rPr>
        <w:lastRenderedPageBreak/>
        <w:t>The following map shows the shuttle route and the usage, broken down by Total Activity and On/Off percentages, for each of the stops, proportionately scaled to show popular destinations.</w:t>
      </w:r>
    </w:p>
    <w:p w14:paraId="6130F214" w14:textId="77777777" w:rsidR="00885D10" w:rsidRDefault="00E1058E" w:rsidP="00885D10">
      <w:pPr>
        <w:keepNext/>
        <w:spacing w:after="200" w:line="276" w:lineRule="auto"/>
        <w:jc w:val="center"/>
      </w:pPr>
      <w:r>
        <w:rPr>
          <w:rFonts w:asciiTheme="minorHAnsi" w:hAnsiTheme="minorHAnsi"/>
          <w:noProof/>
        </w:rPr>
        <w:drawing>
          <wp:inline distT="0" distB="0" distL="0" distR="0" wp14:anchorId="6130F580" wp14:editId="6130F581">
            <wp:extent cx="5317934" cy="7559675"/>
            <wp:effectExtent l="0" t="0" r="0" b="3175"/>
            <wp:docPr id="11" name="Picture 11" descr="C:\Users\jdillard\Desktop\StopsCountT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illard\Desktop\StopsCountT1b.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7934" cy="7559675"/>
                    </a:xfrm>
                    <a:prstGeom prst="rect">
                      <a:avLst/>
                    </a:prstGeom>
                    <a:noFill/>
                    <a:ln>
                      <a:noFill/>
                    </a:ln>
                  </pic:spPr>
                </pic:pic>
              </a:graphicData>
            </a:graphic>
          </wp:inline>
        </w:drawing>
      </w:r>
    </w:p>
    <w:p w14:paraId="6130F215" w14:textId="77777777" w:rsidR="00E1058E" w:rsidRDefault="00885D10" w:rsidP="00885D10">
      <w:pPr>
        <w:pStyle w:val="Caption"/>
        <w:jc w:val="center"/>
        <w:rPr>
          <w:rFonts w:asciiTheme="minorHAnsi" w:hAnsiTheme="minorHAnsi"/>
        </w:rPr>
      </w:pPr>
      <w:r>
        <w:t xml:space="preserve">Figure </w:t>
      </w:r>
      <w:fldSimple w:instr=" SEQ Figure \* ARABIC ">
        <w:r w:rsidR="003D3632">
          <w:rPr>
            <w:noProof/>
          </w:rPr>
          <w:t>1</w:t>
        </w:r>
      </w:fldSimple>
      <w:r>
        <w:t xml:space="preserve"> Original Pilot Shuttle Route</w:t>
      </w:r>
    </w:p>
    <w:p w14:paraId="6130F216" w14:textId="77777777" w:rsidR="00CC1CB9" w:rsidRDefault="00C71C41" w:rsidP="00F20795">
      <w:pPr>
        <w:spacing w:after="200"/>
        <w:jc w:val="both"/>
        <w:rPr>
          <w:rFonts w:asciiTheme="minorHAnsi" w:hAnsiTheme="minorHAnsi"/>
        </w:rPr>
      </w:pPr>
      <w:r>
        <w:rPr>
          <w:rFonts w:asciiTheme="minorHAnsi" w:hAnsiTheme="minorHAnsi"/>
        </w:rPr>
        <w:lastRenderedPageBreak/>
        <w:t>I</w:t>
      </w:r>
      <w:r w:rsidR="00E1058E">
        <w:rPr>
          <w:rFonts w:asciiTheme="minorHAnsi" w:hAnsiTheme="minorHAnsi"/>
        </w:rPr>
        <w:t>n March of 2016</w:t>
      </w:r>
      <w:r>
        <w:rPr>
          <w:rFonts w:asciiTheme="minorHAnsi" w:hAnsiTheme="minorHAnsi"/>
        </w:rPr>
        <w:t>,</w:t>
      </w:r>
      <w:r w:rsidRPr="00C71C41">
        <w:rPr>
          <w:rFonts w:asciiTheme="minorHAnsi" w:hAnsiTheme="minorHAnsi"/>
        </w:rPr>
        <w:t xml:space="preserve"> </w:t>
      </w:r>
      <w:r>
        <w:rPr>
          <w:rFonts w:asciiTheme="minorHAnsi" w:hAnsiTheme="minorHAnsi"/>
        </w:rPr>
        <w:t xml:space="preserve">DHS was able to </w:t>
      </w:r>
      <w:r w:rsidR="00FD41FE">
        <w:rPr>
          <w:rFonts w:asciiTheme="minorHAnsi" w:hAnsiTheme="minorHAnsi"/>
        </w:rPr>
        <w:t>procure</w:t>
      </w:r>
      <w:r>
        <w:rPr>
          <w:rFonts w:asciiTheme="minorHAnsi" w:hAnsiTheme="minorHAnsi"/>
        </w:rPr>
        <w:t xml:space="preserve"> additional funding</w:t>
      </w:r>
      <w:r w:rsidR="00256E60">
        <w:rPr>
          <w:rFonts w:asciiTheme="minorHAnsi" w:hAnsiTheme="minorHAnsi"/>
        </w:rPr>
        <w:t xml:space="preserve">, </w:t>
      </w:r>
      <w:r>
        <w:rPr>
          <w:rFonts w:asciiTheme="minorHAnsi" w:hAnsiTheme="minorHAnsi"/>
        </w:rPr>
        <w:t>ushering in</w:t>
      </w:r>
      <w:r w:rsidR="00256E60">
        <w:rPr>
          <w:rFonts w:asciiTheme="minorHAnsi" w:hAnsiTheme="minorHAnsi"/>
        </w:rPr>
        <w:t xml:space="preserve"> a </w:t>
      </w:r>
      <w:r>
        <w:rPr>
          <w:rFonts w:asciiTheme="minorHAnsi" w:hAnsiTheme="minorHAnsi"/>
        </w:rPr>
        <w:t xml:space="preserve">second phase </w:t>
      </w:r>
      <w:r w:rsidR="00256E60">
        <w:rPr>
          <w:rFonts w:asciiTheme="minorHAnsi" w:hAnsiTheme="minorHAnsi"/>
        </w:rPr>
        <w:t>of the shuttle program</w:t>
      </w:r>
      <w:r w:rsidR="00E1058E">
        <w:rPr>
          <w:rFonts w:asciiTheme="minorHAnsi" w:hAnsiTheme="minorHAnsi"/>
        </w:rPr>
        <w:t xml:space="preserve">. This </w:t>
      </w:r>
      <w:r w:rsidR="00256E60">
        <w:rPr>
          <w:rFonts w:asciiTheme="minorHAnsi" w:hAnsiTheme="minorHAnsi"/>
        </w:rPr>
        <w:t xml:space="preserve">funding </w:t>
      </w:r>
      <w:r w:rsidR="00E1058E">
        <w:rPr>
          <w:rFonts w:asciiTheme="minorHAnsi" w:hAnsiTheme="minorHAnsi"/>
        </w:rPr>
        <w:t xml:space="preserve">allowed the shuttle program to add </w:t>
      </w:r>
      <w:r w:rsidR="00430672">
        <w:rPr>
          <w:rFonts w:asciiTheme="minorHAnsi" w:hAnsiTheme="minorHAnsi"/>
        </w:rPr>
        <w:t xml:space="preserve">a second shuttle and </w:t>
      </w:r>
      <w:r w:rsidR="00E1058E">
        <w:rPr>
          <w:rFonts w:asciiTheme="minorHAnsi" w:hAnsiTheme="minorHAnsi"/>
        </w:rPr>
        <w:t xml:space="preserve">a “Northern Route” to the already existing loop, </w:t>
      </w:r>
      <w:r w:rsidR="00FD41FE">
        <w:rPr>
          <w:rFonts w:asciiTheme="minorHAnsi" w:hAnsiTheme="minorHAnsi"/>
        </w:rPr>
        <w:t>effectively</w:t>
      </w:r>
      <w:r w:rsidR="00E1058E">
        <w:rPr>
          <w:rFonts w:asciiTheme="minorHAnsi" w:hAnsiTheme="minorHAnsi"/>
        </w:rPr>
        <w:t xml:space="preserve"> doubling the size of the service area, and providing access to additional educational and employment resources</w:t>
      </w:r>
      <w:r>
        <w:rPr>
          <w:rFonts w:asciiTheme="minorHAnsi" w:hAnsiTheme="minorHAnsi"/>
        </w:rPr>
        <w:t>. Several of the stops along the Northern Route were based on rider feed</w:t>
      </w:r>
      <w:r w:rsidR="00430672">
        <w:rPr>
          <w:rFonts w:asciiTheme="minorHAnsi" w:hAnsiTheme="minorHAnsi"/>
        </w:rPr>
        <w:t>back and Human Service Provider</w:t>
      </w:r>
      <w:r>
        <w:rPr>
          <w:rFonts w:asciiTheme="minorHAnsi" w:hAnsiTheme="minorHAnsi"/>
        </w:rPr>
        <w:t xml:space="preserve"> input</w:t>
      </w:r>
      <w:r w:rsidR="00E1058E">
        <w:rPr>
          <w:rFonts w:asciiTheme="minorHAnsi" w:hAnsiTheme="minorHAnsi"/>
        </w:rPr>
        <w:t>. The Northern Route and Southern Route saw a sharp increase in ridership fr</w:t>
      </w:r>
      <w:r w:rsidR="00B16A11">
        <w:rPr>
          <w:rFonts w:asciiTheme="minorHAnsi" w:hAnsiTheme="minorHAnsi"/>
        </w:rPr>
        <w:t>om March through June, doubling average daily ridership statistics in the first month alone</w:t>
      </w:r>
      <w:r w:rsidR="00CC1CB9">
        <w:rPr>
          <w:rFonts w:asciiTheme="minorHAnsi" w:hAnsiTheme="minorHAnsi"/>
        </w:rPr>
        <w:t xml:space="preserve"> from 15 riders per day to 30.</w:t>
      </w:r>
    </w:p>
    <w:p w14:paraId="6130F217" w14:textId="77777777" w:rsidR="00885D10" w:rsidRDefault="00360A0B" w:rsidP="00885D10">
      <w:pPr>
        <w:keepNext/>
        <w:spacing w:after="200"/>
        <w:jc w:val="both"/>
      </w:pPr>
      <w:r>
        <w:rPr>
          <w:noProof/>
        </w:rPr>
        <w:drawing>
          <wp:inline distT="0" distB="0" distL="0" distR="0" wp14:anchorId="6130F582" wp14:editId="6130F583">
            <wp:extent cx="6086475" cy="3122930"/>
            <wp:effectExtent l="0" t="0" r="9525" b="127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30F218" w14:textId="77777777" w:rsidR="00C44C29" w:rsidRDefault="00885D10" w:rsidP="00885D10">
      <w:pPr>
        <w:pStyle w:val="Caption"/>
        <w:jc w:val="both"/>
        <w:rPr>
          <w:rFonts w:asciiTheme="minorHAnsi" w:hAnsiTheme="minorHAnsi"/>
        </w:rPr>
      </w:pPr>
      <w:r>
        <w:t xml:space="preserve">Figure </w:t>
      </w:r>
      <w:fldSimple w:instr=" SEQ Figure \* ARABIC ">
        <w:r w:rsidR="003D3632">
          <w:rPr>
            <w:noProof/>
          </w:rPr>
          <w:t>2</w:t>
        </w:r>
      </w:fldSimple>
      <w:r>
        <w:t xml:space="preserve"> Average Daily Ridership of North and South Routes</w:t>
      </w:r>
    </w:p>
    <w:p w14:paraId="6130F219" w14:textId="77777777" w:rsidR="00885D10" w:rsidRDefault="00ED10A1" w:rsidP="00885D10">
      <w:pPr>
        <w:keepNext/>
        <w:spacing w:after="200" w:line="276" w:lineRule="auto"/>
        <w:jc w:val="center"/>
      </w:pPr>
      <w:r w:rsidRPr="00B16A11">
        <w:rPr>
          <w:rFonts w:asciiTheme="minorHAnsi" w:hAnsiTheme="minorHAnsi"/>
          <w:noProof/>
        </w:rPr>
        <mc:AlternateContent>
          <mc:Choice Requires="wps">
            <w:drawing>
              <wp:anchor distT="0" distB="0" distL="114300" distR="114300" simplePos="0" relativeHeight="251649536" behindDoc="0" locked="0" layoutInCell="1" allowOverlap="1" wp14:anchorId="6130F584" wp14:editId="6130F585">
                <wp:simplePos x="0" y="0"/>
                <wp:positionH relativeFrom="column">
                  <wp:posOffset>3846195</wp:posOffset>
                </wp:positionH>
                <wp:positionV relativeFrom="paragraph">
                  <wp:posOffset>1985645</wp:posOffset>
                </wp:positionV>
                <wp:extent cx="1967789"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789" cy="1403985"/>
                        </a:xfrm>
                        <a:prstGeom prst="rect">
                          <a:avLst/>
                        </a:prstGeom>
                        <a:noFill/>
                        <a:ln w="9525">
                          <a:noFill/>
                          <a:miter lim="800000"/>
                          <a:headEnd/>
                          <a:tailEnd/>
                        </a:ln>
                      </wps:spPr>
                      <wps:txbx>
                        <w:txbxContent>
                          <w:p w14:paraId="6130F5FA" w14:textId="77777777" w:rsidR="006503A9" w:rsidRPr="00B16A11" w:rsidRDefault="006503A9">
                            <w:pPr>
                              <w:rPr>
                                <w:rFonts w:asciiTheme="minorHAnsi" w:hAnsiTheme="minorHAnsi"/>
                                <w:b/>
                                <w:sz w:val="28"/>
                              </w:rPr>
                            </w:pPr>
                            <w:r w:rsidRPr="00B16A11">
                              <w:rPr>
                                <w:rFonts w:asciiTheme="minorHAnsi" w:hAnsiTheme="minorHAnsi"/>
                                <w:b/>
                                <w:sz w:val="28"/>
                              </w:rPr>
                              <w:t>Northern Route Added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F584" id="_x0000_s1034" type="#_x0000_t202" style="position:absolute;left:0;text-align:left;margin-left:302.85pt;margin-top:156.35pt;width:154.95pt;height:110.55pt;z-index:2516495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" filled="f" stroked="f">
                <v:textbox style="mso-fit-shape-to-text:t">
                  <w:txbxContent>
                    <w:p w14:paraId="6130F5FA" w14:textId="77777777" w:rsidR="006503A9" w:rsidRPr="00B16A11" w:rsidRDefault="006503A9">
                      <w:pPr>
                        <w:rPr>
                          <w:rFonts w:asciiTheme="minorHAnsi" w:hAnsiTheme="minorHAnsi"/>
                          <w:b/>
                          <w:sz w:val="28"/>
                        </w:rPr>
                      </w:pPr>
                      <w:r w:rsidRPr="00B16A11">
                        <w:rPr>
                          <w:rFonts w:asciiTheme="minorHAnsi" w:hAnsiTheme="minorHAnsi"/>
                          <w:b/>
                          <w:sz w:val="28"/>
                        </w:rPr>
                        <w:t>Northern Route Added</w:t>
                      </w:r>
                    </w:p>
                  </w:txbxContent>
                </v:textbox>
              </v:shape>
            </w:pict>
          </mc:Fallback>
        </mc:AlternateContent>
      </w:r>
      <w:r w:rsidR="00E13B3A">
        <w:rPr>
          <w:noProof/>
        </w:rPr>
        <w:drawing>
          <wp:inline distT="0" distB="0" distL="0" distR="0" wp14:anchorId="6130F586" wp14:editId="6130F587">
            <wp:extent cx="6114416" cy="2800350"/>
            <wp:effectExtent l="0" t="0" r="63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130F21A" w14:textId="77777777" w:rsidR="00E1058E" w:rsidRDefault="00885D10" w:rsidP="00885D10">
      <w:pPr>
        <w:pStyle w:val="Caption"/>
        <w:jc w:val="center"/>
        <w:rPr>
          <w:rFonts w:asciiTheme="minorHAnsi" w:hAnsiTheme="minorHAnsi"/>
        </w:rPr>
      </w:pPr>
      <w:r>
        <w:t xml:space="preserve">Figure </w:t>
      </w:r>
      <w:fldSimple w:instr=" SEQ Figure \* ARABIC ">
        <w:r w:rsidR="003D3632">
          <w:rPr>
            <w:noProof/>
          </w:rPr>
          <w:t>3</w:t>
        </w:r>
      </w:fldSimple>
      <w:r>
        <w:t xml:space="preserve"> Combined Average Daily Ridership by Month</w:t>
      </w:r>
    </w:p>
    <w:p w14:paraId="6130F21B" w14:textId="77777777" w:rsidR="0029633E" w:rsidRDefault="00D14BAE" w:rsidP="0029633E">
      <w:pPr>
        <w:spacing w:after="200" w:line="276" w:lineRule="auto"/>
        <w:jc w:val="both"/>
        <w:rPr>
          <w:rFonts w:asciiTheme="minorHAnsi" w:hAnsiTheme="minorHAnsi"/>
        </w:rPr>
      </w:pPr>
      <w:r>
        <w:rPr>
          <w:rFonts w:asciiTheme="minorHAnsi" w:hAnsiTheme="minorHAnsi"/>
        </w:rPr>
        <w:lastRenderedPageBreak/>
        <w:t xml:space="preserve">The following map shows the North (blue) and South (yellow) routes and their stops again by </w:t>
      </w:r>
      <w:r w:rsidR="002453F8">
        <w:rPr>
          <w:rFonts w:asciiTheme="minorHAnsi" w:hAnsiTheme="minorHAnsi"/>
        </w:rPr>
        <w:t>usage</w:t>
      </w:r>
      <w:r>
        <w:rPr>
          <w:rFonts w:asciiTheme="minorHAnsi" w:hAnsiTheme="minorHAnsi"/>
        </w:rPr>
        <w:t>, Total Activity, and On/Off percentages</w:t>
      </w:r>
      <w:r w:rsidR="002453F8">
        <w:rPr>
          <w:rFonts w:asciiTheme="minorHAnsi" w:hAnsiTheme="minorHAnsi"/>
        </w:rPr>
        <w:t>, proportionately scaled to show popular destinations</w:t>
      </w:r>
      <w:r>
        <w:rPr>
          <w:rFonts w:asciiTheme="minorHAnsi" w:hAnsiTheme="minorHAnsi"/>
        </w:rPr>
        <w:t>.</w:t>
      </w:r>
    </w:p>
    <w:p w14:paraId="6130F21C" w14:textId="77777777" w:rsidR="00885D10" w:rsidRDefault="00E1058E" w:rsidP="0029633E">
      <w:pPr>
        <w:spacing w:after="200" w:line="276" w:lineRule="auto"/>
        <w:jc w:val="center"/>
      </w:pPr>
      <w:r>
        <w:rPr>
          <w:rFonts w:asciiTheme="minorHAnsi" w:hAnsiTheme="minorHAnsi"/>
          <w:noProof/>
        </w:rPr>
        <w:drawing>
          <wp:inline distT="0" distB="0" distL="0" distR="0" wp14:anchorId="6130F588" wp14:editId="6130F589">
            <wp:extent cx="5316855" cy="7139728"/>
            <wp:effectExtent l="0" t="0" r="0" b="4445"/>
            <wp:docPr id="12" name="Picture 12" descr="C:\Users\jdillard\Desktop\StopsCount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illard\Desktop\StopsCountT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25911" cy="7151889"/>
                    </a:xfrm>
                    <a:prstGeom prst="rect">
                      <a:avLst/>
                    </a:prstGeom>
                    <a:noFill/>
                    <a:ln>
                      <a:noFill/>
                    </a:ln>
                  </pic:spPr>
                </pic:pic>
              </a:graphicData>
            </a:graphic>
          </wp:inline>
        </w:drawing>
      </w:r>
    </w:p>
    <w:p w14:paraId="6130F21D" w14:textId="77777777" w:rsidR="00B16A11" w:rsidRDefault="00885D10" w:rsidP="00885D10">
      <w:pPr>
        <w:pStyle w:val="Caption"/>
        <w:jc w:val="center"/>
        <w:rPr>
          <w:rFonts w:asciiTheme="minorHAnsi" w:hAnsiTheme="minorHAnsi"/>
        </w:rPr>
      </w:pPr>
      <w:r>
        <w:t xml:space="preserve">Figure </w:t>
      </w:r>
      <w:fldSimple w:instr=" SEQ Figure \* ARABIC ">
        <w:r w:rsidR="003D3632">
          <w:rPr>
            <w:noProof/>
          </w:rPr>
          <w:t>4</w:t>
        </w:r>
      </w:fldSimple>
      <w:r>
        <w:t xml:space="preserve"> Map of North and South Shuttle Routes</w:t>
      </w:r>
    </w:p>
    <w:p w14:paraId="6130F21E" w14:textId="77777777" w:rsidR="00256E60" w:rsidRDefault="00B16A11" w:rsidP="00F20795">
      <w:pPr>
        <w:spacing w:after="200"/>
        <w:jc w:val="both"/>
        <w:rPr>
          <w:rFonts w:asciiTheme="minorHAnsi" w:hAnsiTheme="minorHAnsi"/>
        </w:rPr>
      </w:pPr>
      <w:r>
        <w:rPr>
          <w:rFonts w:asciiTheme="minorHAnsi" w:hAnsiTheme="minorHAnsi"/>
        </w:rPr>
        <w:lastRenderedPageBreak/>
        <w:t>Beginning in July of 2016</w:t>
      </w:r>
      <w:r w:rsidR="00C71C41">
        <w:rPr>
          <w:rFonts w:asciiTheme="minorHAnsi" w:hAnsiTheme="minorHAnsi"/>
        </w:rPr>
        <w:t>,</w:t>
      </w:r>
      <w:r>
        <w:rPr>
          <w:rFonts w:asciiTheme="minorHAnsi" w:hAnsiTheme="minorHAnsi"/>
        </w:rPr>
        <w:t xml:space="preserve"> the shuttle program </w:t>
      </w:r>
      <w:r w:rsidR="00256E60">
        <w:rPr>
          <w:rFonts w:asciiTheme="minorHAnsi" w:hAnsiTheme="minorHAnsi"/>
        </w:rPr>
        <w:t>experienced</w:t>
      </w:r>
      <w:r>
        <w:rPr>
          <w:rFonts w:asciiTheme="minorHAnsi" w:hAnsiTheme="minorHAnsi"/>
        </w:rPr>
        <w:t xml:space="preserve"> a reduction in available funding from DHS, and the routes had to be modified to accommodate these changes. </w:t>
      </w:r>
      <w:r w:rsidR="00C71C41">
        <w:rPr>
          <w:rFonts w:asciiTheme="minorHAnsi" w:hAnsiTheme="minorHAnsi"/>
        </w:rPr>
        <w:t>T</w:t>
      </w:r>
      <w:r>
        <w:rPr>
          <w:rFonts w:asciiTheme="minorHAnsi" w:hAnsiTheme="minorHAnsi"/>
        </w:rPr>
        <w:t xml:space="preserve">he new route </w:t>
      </w:r>
      <w:r w:rsidR="00256E60">
        <w:rPr>
          <w:rFonts w:asciiTheme="minorHAnsi" w:hAnsiTheme="minorHAnsi"/>
        </w:rPr>
        <w:t xml:space="preserve">would combine the North and South </w:t>
      </w:r>
      <w:r w:rsidR="00C71C41">
        <w:rPr>
          <w:rFonts w:asciiTheme="minorHAnsi" w:hAnsiTheme="minorHAnsi"/>
        </w:rPr>
        <w:t>loops</w:t>
      </w:r>
      <w:r w:rsidR="00256E60">
        <w:rPr>
          <w:rFonts w:asciiTheme="minorHAnsi" w:hAnsiTheme="minorHAnsi"/>
        </w:rPr>
        <w:t xml:space="preserve"> into </w:t>
      </w:r>
      <w:r w:rsidR="00C71C41">
        <w:rPr>
          <w:rFonts w:asciiTheme="minorHAnsi" w:hAnsiTheme="minorHAnsi"/>
        </w:rPr>
        <w:t>a figure-eight</w:t>
      </w:r>
      <w:r w:rsidR="001C728A">
        <w:rPr>
          <w:rFonts w:asciiTheme="minorHAnsi" w:hAnsiTheme="minorHAnsi"/>
        </w:rPr>
        <w:t xml:space="preserve"> route</w:t>
      </w:r>
      <w:r w:rsidR="00C71C41">
        <w:rPr>
          <w:rFonts w:asciiTheme="minorHAnsi" w:hAnsiTheme="minorHAnsi"/>
        </w:rPr>
        <w:t>, eliminating the stops at eLead</w:t>
      </w:r>
      <w:r w:rsidR="001C728A">
        <w:rPr>
          <w:rFonts w:asciiTheme="minorHAnsi" w:hAnsiTheme="minorHAnsi"/>
        </w:rPr>
        <w:t>1/Fresh Beginnings</w:t>
      </w:r>
      <w:r w:rsidR="00C71C41">
        <w:rPr>
          <w:rFonts w:asciiTheme="minorHAnsi" w:hAnsiTheme="minorHAnsi"/>
        </w:rPr>
        <w:t xml:space="preserve"> and Wiregrass Georgia Technical College, while utilizing </w:t>
      </w:r>
      <w:r>
        <w:rPr>
          <w:rFonts w:asciiTheme="minorHAnsi" w:hAnsiTheme="minorHAnsi"/>
        </w:rPr>
        <w:t xml:space="preserve">one shuttle </w:t>
      </w:r>
      <w:r w:rsidR="00C71C41">
        <w:rPr>
          <w:rFonts w:asciiTheme="minorHAnsi" w:hAnsiTheme="minorHAnsi"/>
        </w:rPr>
        <w:t xml:space="preserve">to </w:t>
      </w:r>
      <w:r w:rsidR="00FD41FE">
        <w:rPr>
          <w:rFonts w:asciiTheme="minorHAnsi" w:hAnsiTheme="minorHAnsi"/>
        </w:rPr>
        <w:t>operate on</w:t>
      </w:r>
      <w:r>
        <w:rPr>
          <w:rFonts w:asciiTheme="minorHAnsi" w:hAnsiTheme="minorHAnsi"/>
        </w:rPr>
        <w:t xml:space="preserve"> a 90 minute headway</w:t>
      </w:r>
      <w:r w:rsidR="00256E60">
        <w:rPr>
          <w:rFonts w:asciiTheme="minorHAnsi" w:hAnsiTheme="minorHAnsi"/>
        </w:rPr>
        <w:t>. This combined route allowed for maximum service coverage without drastically increasing the service delivery wait times.</w:t>
      </w:r>
    </w:p>
    <w:p w14:paraId="6130F21F" w14:textId="77777777" w:rsidR="00E54F76" w:rsidRPr="0029633E" w:rsidRDefault="00256E60" w:rsidP="0029633E">
      <w:pPr>
        <w:spacing w:after="200"/>
        <w:jc w:val="both"/>
        <w:rPr>
          <w:rFonts w:asciiTheme="minorHAnsi" w:hAnsiTheme="minorHAnsi"/>
        </w:rPr>
      </w:pPr>
      <w:r>
        <w:rPr>
          <w:rFonts w:asciiTheme="minorHAnsi" w:hAnsiTheme="minorHAnsi"/>
        </w:rPr>
        <w:t>During the final phase of the pilot program, the funding available was only guaranteed for several months at a time</w:t>
      </w:r>
      <w:r w:rsidR="00E54F76">
        <w:rPr>
          <w:rFonts w:asciiTheme="minorHAnsi" w:hAnsiTheme="minorHAnsi"/>
        </w:rPr>
        <w:t>;</w:t>
      </w:r>
      <w:r>
        <w:rPr>
          <w:rFonts w:asciiTheme="minorHAnsi" w:hAnsiTheme="minorHAnsi"/>
        </w:rPr>
        <w:t xml:space="preserve"> initially extending the program </w:t>
      </w:r>
      <w:r w:rsidR="00E54F76">
        <w:rPr>
          <w:rFonts w:asciiTheme="minorHAnsi" w:hAnsiTheme="minorHAnsi"/>
        </w:rPr>
        <w:t>from June 3</w:t>
      </w:r>
      <w:r w:rsidR="007E4A83">
        <w:rPr>
          <w:rFonts w:asciiTheme="minorHAnsi" w:hAnsiTheme="minorHAnsi"/>
        </w:rPr>
        <w:t>0,</w:t>
      </w:r>
      <w:r w:rsidR="001C728A">
        <w:rPr>
          <w:rFonts w:asciiTheme="minorHAnsi" w:hAnsiTheme="minorHAnsi"/>
          <w:vertAlign w:val="superscript"/>
        </w:rPr>
        <w:t xml:space="preserve"> </w:t>
      </w:r>
      <w:r w:rsidR="001C728A">
        <w:rPr>
          <w:rFonts w:asciiTheme="minorHAnsi" w:hAnsiTheme="minorHAnsi"/>
        </w:rPr>
        <w:t>2016</w:t>
      </w:r>
      <w:r w:rsidR="00E54F76">
        <w:rPr>
          <w:rFonts w:asciiTheme="minorHAnsi" w:hAnsiTheme="minorHAnsi"/>
        </w:rPr>
        <w:t xml:space="preserve"> </w:t>
      </w:r>
      <w:r>
        <w:rPr>
          <w:rFonts w:asciiTheme="minorHAnsi" w:hAnsiTheme="minorHAnsi"/>
        </w:rPr>
        <w:t>to September 30</w:t>
      </w:r>
      <w:r w:rsidR="001C728A">
        <w:rPr>
          <w:rFonts w:asciiTheme="minorHAnsi" w:hAnsiTheme="minorHAnsi"/>
        </w:rPr>
        <w:t>, 2016</w:t>
      </w:r>
      <w:r>
        <w:rPr>
          <w:rFonts w:asciiTheme="minorHAnsi" w:hAnsiTheme="minorHAnsi"/>
        </w:rPr>
        <w:t>, and then again to December 31</w:t>
      </w:r>
      <w:r w:rsidR="001C728A">
        <w:rPr>
          <w:rFonts w:asciiTheme="minorHAnsi" w:hAnsiTheme="minorHAnsi"/>
        </w:rPr>
        <w:t>, 2016</w:t>
      </w:r>
      <w:r>
        <w:rPr>
          <w:rFonts w:asciiTheme="minorHAnsi" w:hAnsiTheme="minorHAnsi"/>
        </w:rPr>
        <w:t xml:space="preserve">. This had an impact on ridership during the final months of service, </w:t>
      </w:r>
      <w:r w:rsidR="00E54F76">
        <w:rPr>
          <w:rFonts w:asciiTheme="minorHAnsi" w:hAnsiTheme="minorHAnsi"/>
        </w:rPr>
        <w:t>as indicated in the chart below by the sudden dips and rises in Average Daily Ridership:</w:t>
      </w:r>
    </w:p>
    <w:p w14:paraId="6130F220" w14:textId="77777777" w:rsidR="00885D10" w:rsidRDefault="004B34A6" w:rsidP="00885D10">
      <w:pPr>
        <w:keepNext/>
        <w:spacing w:after="200" w:line="276" w:lineRule="auto"/>
        <w:jc w:val="center"/>
      </w:pPr>
      <w:r>
        <w:rPr>
          <w:noProof/>
        </w:rPr>
        <mc:AlternateContent>
          <mc:Choice Requires="wps">
            <w:drawing>
              <wp:anchor distT="0" distB="0" distL="114300" distR="114300" simplePos="0" relativeHeight="251658752" behindDoc="0" locked="0" layoutInCell="1" allowOverlap="1" wp14:anchorId="6130F58A" wp14:editId="6130F58B">
                <wp:simplePos x="0" y="0"/>
                <wp:positionH relativeFrom="column">
                  <wp:posOffset>3012034</wp:posOffset>
                </wp:positionH>
                <wp:positionV relativeFrom="paragraph">
                  <wp:posOffset>1960473</wp:posOffset>
                </wp:positionV>
                <wp:extent cx="2374265" cy="1403985"/>
                <wp:effectExtent l="0" t="0" r="22860" b="101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130F5FB" w14:textId="77777777" w:rsidR="006503A9" w:rsidRPr="00F20795" w:rsidRDefault="006503A9">
                            <w:pPr>
                              <w:rPr>
                                <w:rFonts w:asciiTheme="minorHAnsi" w:hAnsiTheme="minorHAnsi"/>
                              </w:rPr>
                            </w:pPr>
                            <w:r w:rsidRPr="00F20795">
                              <w:rPr>
                                <w:rFonts w:asciiTheme="minorHAnsi" w:hAnsiTheme="minorHAnsi"/>
                              </w:rPr>
                              <w:t>Average Daily Ridership is calculated using the number of unique riders per day. A unique rider is defined as a physical person, and is only counted once per day.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130F58A" id="_x0000_s1035" type="#_x0000_t202" style="position:absolute;left:0;text-align:left;margin-left:237.15pt;margin-top:154.35pt;width:186.95pt;height:110.55pt;z-index:2516587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">
                <v:textbox style="mso-fit-shape-to-text:t">
                  <w:txbxContent>
                    <w:p w14:paraId="6130F5FB" w14:textId="77777777" w:rsidR="006503A9" w:rsidRPr="00F20795" w:rsidRDefault="006503A9">
                      <w:pPr>
                        <w:rPr>
                          <w:rFonts w:asciiTheme="minorHAnsi" w:hAnsiTheme="minorHAnsi"/>
                        </w:rPr>
                      </w:pPr>
                      <w:r w:rsidRPr="00F20795">
                        <w:rPr>
                          <w:rFonts w:asciiTheme="minorHAnsi" w:hAnsiTheme="minorHAnsi"/>
                        </w:rPr>
                        <w:t>Average Daily Ridership is calculated using the number of unique riders per day. A unique rider is defined as a physical person, and is only counted once per day.</w:t>
                      </w:r>
                    </w:p>
                  </w:txbxContent>
                </v:textbox>
              </v:shape>
            </w:pict>
          </mc:Fallback>
        </mc:AlternateContent>
      </w:r>
      <w:r w:rsidR="002417A1">
        <w:rPr>
          <w:noProof/>
        </w:rPr>
        <w:drawing>
          <wp:inline distT="0" distB="0" distL="0" distR="0" wp14:anchorId="6130F58C" wp14:editId="6130F58D">
            <wp:extent cx="5902960" cy="4468934"/>
            <wp:effectExtent l="0" t="0" r="2540" b="825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130F221" w14:textId="77777777" w:rsidR="00885D10" w:rsidRDefault="00885D10" w:rsidP="00885D10">
      <w:pPr>
        <w:pStyle w:val="Caption"/>
        <w:jc w:val="center"/>
      </w:pPr>
      <w:r>
        <w:t xml:space="preserve">Figure </w:t>
      </w:r>
      <w:fldSimple w:instr=" SEQ Figure \* ARABIC ">
        <w:r w:rsidR="003D3632">
          <w:rPr>
            <w:noProof/>
          </w:rPr>
          <w:t>5</w:t>
        </w:r>
      </w:fldSimple>
      <w:r>
        <w:t xml:space="preserve"> Average Daily Ridership of Pilot Shuttle Program</w:t>
      </w:r>
    </w:p>
    <w:p w14:paraId="6130F222" w14:textId="77777777" w:rsidR="00ED10A1" w:rsidRDefault="00ED10A1" w:rsidP="00F20795">
      <w:pPr>
        <w:spacing w:after="200" w:line="276" w:lineRule="auto"/>
        <w:rPr>
          <w:rFonts w:asciiTheme="minorHAnsi" w:hAnsiTheme="minorHAnsi"/>
          <w:noProof/>
        </w:rPr>
      </w:pPr>
    </w:p>
    <w:p w14:paraId="6130F223" w14:textId="77777777" w:rsidR="0029633E" w:rsidRDefault="0029633E" w:rsidP="00F20795">
      <w:pPr>
        <w:spacing w:after="200" w:line="276" w:lineRule="auto"/>
        <w:rPr>
          <w:rFonts w:asciiTheme="minorHAnsi" w:hAnsiTheme="minorHAnsi"/>
          <w:noProof/>
        </w:rPr>
      </w:pPr>
    </w:p>
    <w:p w14:paraId="6130F224" w14:textId="77777777" w:rsidR="00AC7DD9" w:rsidRPr="00B91233" w:rsidRDefault="00AC7DD9" w:rsidP="0029633E">
      <w:pPr>
        <w:spacing w:after="200" w:line="276" w:lineRule="auto"/>
        <w:jc w:val="both"/>
        <w:rPr>
          <w:rFonts w:asciiTheme="minorHAnsi" w:hAnsiTheme="minorHAnsi"/>
        </w:rPr>
      </w:pPr>
      <w:r w:rsidRPr="00F20795">
        <w:rPr>
          <w:rFonts w:asciiTheme="minorHAnsi" w:hAnsiTheme="minorHAnsi"/>
          <w:noProof/>
        </w:rPr>
        <w:lastRenderedPageBreak/>
        <w:t>The combined route is shown with the popularity, Total Activity, and On/Off percentages for the final phase of the program. The SGMC Regional Library was utilized as the epicenter of the route causing the shuttle to stop twice at this location during the 90 minute loop.</w:t>
      </w:r>
    </w:p>
    <w:p w14:paraId="6130F225" w14:textId="77777777" w:rsidR="00885D10" w:rsidRDefault="00256E60" w:rsidP="00885D10">
      <w:pPr>
        <w:keepNext/>
        <w:spacing w:after="200" w:line="276" w:lineRule="auto"/>
        <w:jc w:val="center"/>
      </w:pPr>
      <w:r>
        <w:rPr>
          <w:rFonts w:asciiTheme="minorHAnsi" w:hAnsiTheme="minorHAnsi"/>
          <w:noProof/>
        </w:rPr>
        <w:drawing>
          <wp:inline distT="0" distB="0" distL="0" distR="0" wp14:anchorId="6130F58E" wp14:editId="6130F58F">
            <wp:extent cx="5317766" cy="7006590"/>
            <wp:effectExtent l="0" t="0" r="0" b="3810"/>
            <wp:docPr id="14" name="Picture 14" descr="C:\Users\jdillard\Desktop\StopsCountT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dillard\Desktop\StopsCountT3b.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1137" cy="7011032"/>
                    </a:xfrm>
                    <a:prstGeom prst="rect">
                      <a:avLst/>
                    </a:prstGeom>
                    <a:noFill/>
                    <a:ln>
                      <a:noFill/>
                    </a:ln>
                  </pic:spPr>
                </pic:pic>
              </a:graphicData>
            </a:graphic>
          </wp:inline>
        </w:drawing>
      </w:r>
    </w:p>
    <w:p w14:paraId="6130F226" w14:textId="77777777" w:rsidR="001F762C" w:rsidRPr="00152694" w:rsidRDefault="00885D10" w:rsidP="00152694">
      <w:pPr>
        <w:pStyle w:val="Caption"/>
        <w:jc w:val="center"/>
      </w:pPr>
      <w:r>
        <w:t xml:space="preserve">Figure </w:t>
      </w:r>
      <w:fldSimple w:instr=" SEQ Figure \* ARABIC ">
        <w:r w:rsidR="003D3632">
          <w:rPr>
            <w:noProof/>
          </w:rPr>
          <w:t>6</w:t>
        </w:r>
      </w:fldSimple>
      <w:r>
        <w:t xml:space="preserve"> Map of the Combined Shuttle Route</w:t>
      </w:r>
    </w:p>
    <w:p w14:paraId="6130F227" w14:textId="77777777" w:rsidR="00D94B31" w:rsidRDefault="002C59E0" w:rsidP="00F20795">
      <w:pPr>
        <w:jc w:val="both"/>
        <w:rPr>
          <w:rFonts w:asciiTheme="minorHAnsi" w:hAnsiTheme="minorHAnsi"/>
        </w:rPr>
      </w:pPr>
      <w:r>
        <w:rPr>
          <w:rFonts w:asciiTheme="minorHAnsi" w:hAnsiTheme="minorHAnsi"/>
        </w:rPr>
        <w:lastRenderedPageBreak/>
        <w:t>The pilot shuttle provided</w:t>
      </w:r>
      <w:r w:rsidRPr="00D4587B">
        <w:rPr>
          <w:rFonts w:asciiTheme="minorHAnsi" w:hAnsiTheme="minorHAnsi"/>
        </w:rPr>
        <w:t xml:space="preserve"> citizens access to many resources throughout the community, and </w:t>
      </w:r>
      <w:r>
        <w:rPr>
          <w:rFonts w:asciiTheme="minorHAnsi" w:hAnsiTheme="minorHAnsi"/>
        </w:rPr>
        <w:t xml:space="preserve">filled </w:t>
      </w:r>
      <w:r w:rsidRPr="00D4587B">
        <w:rPr>
          <w:rFonts w:asciiTheme="minorHAnsi" w:hAnsiTheme="minorHAnsi"/>
        </w:rPr>
        <w:t>a transportation gap in a</w:t>
      </w:r>
      <w:r w:rsidR="001F762C">
        <w:rPr>
          <w:rFonts w:asciiTheme="minorHAnsi" w:hAnsiTheme="minorHAnsi"/>
        </w:rPr>
        <w:t>n area</w:t>
      </w:r>
      <w:r w:rsidRPr="00D4587B">
        <w:rPr>
          <w:rFonts w:asciiTheme="minorHAnsi" w:hAnsiTheme="minorHAnsi"/>
        </w:rPr>
        <w:t xml:space="preserve"> without traditional urban transit options. </w:t>
      </w:r>
      <w:r>
        <w:rPr>
          <w:rFonts w:asciiTheme="minorHAnsi" w:hAnsiTheme="minorHAnsi"/>
        </w:rPr>
        <w:t>P</w:t>
      </w:r>
      <w:r w:rsidRPr="00D4587B">
        <w:rPr>
          <w:rFonts w:asciiTheme="minorHAnsi" w:hAnsiTheme="minorHAnsi"/>
        </w:rPr>
        <w:t>opular destinations</w:t>
      </w:r>
      <w:r>
        <w:rPr>
          <w:rFonts w:asciiTheme="minorHAnsi" w:hAnsiTheme="minorHAnsi"/>
        </w:rPr>
        <w:t>, like Walmart, Goodwill, South Georgia Medical Center and Regional Library, and Downtown Valdosta</w:t>
      </w:r>
      <w:r w:rsidRPr="00D4587B">
        <w:rPr>
          <w:rFonts w:asciiTheme="minorHAnsi" w:hAnsiTheme="minorHAnsi"/>
        </w:rPr>
        <w:t xml:space="preserve"> with its numerous retailers and service providers within a half mile walking distance</w:t>
      </w:r>
      <w:r w:rsidR="003C5573">
        <w:rPr>
          <w:rFonts w:asciiTheme="minorHAnsi" w:hAnsiTheme="minorHAnsi"/>
        </w:rPr>
        <w:t>,</w:t>
      </w:r>
      <w:r w:rsidRPr="00D4587B">
        <w:rPr>
          <w:rFonts w:asciiTheme="minorHAnsi" w:hAnsiTheme="minorHAnsi"/>
        </w:rPr>
        <w:t xml:space="preserve"> allow</w:t>
      </w:r>
      <w:r>
        <w:rPr>
          <w:rFonts w:asciiTheme="minorHAnsi" w:hAnsiTheme="minorHAnsi"/>
        </w:rPr>
        <w:t>ed</w:t>
      </w:r>
      <w:r w:rsidRPr="00D4587B">
        <w:rPr>
          <w:rFonts w:asciiTheme="minorHAnsi" w:hAnsiTheme="minorHAnsi"/>
        </w:rPr>
        <w:t xml:space="preserve"> people to access jobs, workforce training, medical care, educational opportunities, as well as shopping and other daily needs.</w:t>
      </w:r>
      <w:r w:rsidR="00D83269">
        <w:rPr>
          <w:rFonts w:asciiTheme="minorHAnsi" w:hAnsiTheme="minorHAnsi"/>
        </w:rPr>
        <w:t xml:space="preserve"> </w:t>
      </w:r>
    </w:p>
    <w:p w14:paraId="6130F228" w14:textId="77777777" w:rsidR="00582849" w:rsidRDefault="00582849" w:rsidP="00F20795">
      <w:pPr>
        <w:jc w:val="both"/>
        <w:rPr>
          <w:rFonts w:asciiTheme="minorHAnsi" w:hAnsiTheme="minorHAnsi"/>
        </w:rPr>
      </w:pPr>
    </w:p>
    <w:p w14:paraId="6130F229" w14:textId="77777777" w:rsidR="00927866" w:rsidRDefault="00927866" w:rsidP="00F20795">
      <w:pPr>
        <w:jc w:val="both"/>
        <w:rPr>
          <w:rFonts w:asciiTheme="minorHAnsi" w:hAnsiTheme="minorHAnsi"/>
        </w:rPr>
      </w:pPr>
    </w:p>
    <w:p w14:paraId="6130F22A" w14:textId="77777777" w:rsidR="00885D10" w:rsidRDefault="00F34F5D" w:rsidP="00885D10">
      <w:pPr>
        <w:keepNext/>
        <w:spacing w:after="200"/>
        <w:jc w:val="both"/>
      </w:pPr>
      <w:r>
        <w:rPr>
          <w:noProof/>
        </w:rPr>
        <w:drawing>
          <wp:inline distT="0" distB="0" distL="0" distR="0" wp14:anchorId="6130F590" wp14:editId="6130F591">
            <wp:extent cx="5676900" cy="3933826"/>
            <wp:effectExtent l="0" t="0" r="19050" b="9525"/>
            <wp:docPr id="315" name="Chart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30F22B" w14:textId="77777777" w:rsidR="00927866" w:rsidRDefault="00885D10" w:rsidP="00885D10">
      <w:pPr>
        <w:pStyle w:val="Caption"/>
        <w:jc w:val="both"/>
        <w:rPr>
          <w:rFonts w:asciiTheme="minorHAnsi" w:hAnsiTheme="minorHAnsi"/>
        </w:rPr>
      </w:pPr>
      <w:r>
        <w:t xml:space="preserve">Figure </w:t>
      </w:r>
      <w:fldSimple w:instr=" SEQ Figure \* ARABIC ">
        <w:r w:rsidR="003D3632">
          <w:rPr>
            <w:noProof/>
          </w:rPr>
          <w:t>7</w:t>
        </w:r>
      </w:fldSimple>
      <w:r>
        <w:t xml:space="preserve"> Survey Results of Shuttle Stop Usefulness</w:t>
      </w:r>
    </w:p>
    <w:p w14:paraId="6130F22C" w14:textId="77777777" w:rsidR="009165A0" w:rsidRDefault="009165A0" w:rsidP="009165A0">
      <w:pPr>
        <w:spacing w:after="200"/>
        <w:jc w:val="both"/>
        <w:rPr>
          <w:rFonts w:asciiTheme="minorHAnsi" w:hAnsiTheme="minorHAnsi"/>
        </w:rPr>
      </w:pPr>
      <w:r>
        <w:rPr>
          <w:rFonts w:asciiTheme="minorHAnsi" w:hAnsiTheme="minorHAnsi"/>
        </w:rPr>
        <w:t>A survey of riders was taken during the final weeks of the pilot shuttle service to gain insight into the riding habits and purposes for their trips. The results showed that 48% of the riders utilized the shuttle daily, while another 38% rode 2-4 times per week. Survey responses also indicated that the shuttle stop locations were considered “Somewhat” or “Extremely” useful to the riders.</w:t>
      </w:r>
    </w:p>
    <w:p w14:paraId="6130F22D" w14:textId="77777777" w:rsidR="009165A0" w:rsidRDefault="009165A0" w:rsidP="00F20795">
      <w:pPr>
        <w:spacing w:after="200" w:line="276" w:lineRule="auto"/>
        <w:rPr>
          <w:rFonts w:asciiTheme="minorHAnsi" w:hAnsiTheme="minorHAnsi"/>
        </w:rPr>
      </w:pPr>
    </w:p>
    <w:p w14:paraId="6130F22E" w14:textId="77777777" w:rsidR="00885D10" w:rsidRDefault="00927866" w:rsidP="00885D10">
      <w:pPr>
        <w:keepNext/>
        <w:spacing w:after="200" w:line="276" w:lineRule="auto"/>
        <w:jc w:val="center"/>
      </w:pPr>
      <w:r>
        <w:rPr>
          <w:noProof/>
        </w:rPr>
        <w:lastRenderedPageBreak/>
        <w:drawing>
          <wp:inline distT="0" distB="0" distL="0" distR="0" wp14:anchorId="6130F592" wp14:editId="6130F593">
            <wp:extent cx="5814060" cy="3685672"/>
            <wp:effectExtent l="0" t="0" r="15240" b="1016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130F22F" w14:textId="77777777" w:rsidR="003632BB" w:rsidRDefault="00885D10" w:rsidP="00885D10">
      <w:pPr>
        <w:pStyle w:val="Caption"/>
        <w:jc w:val="center"/>
        <w:rPr>
          <w:rFonts w:asciiTheme="minorHAnsi" w:hAnsiTheme="minorHAnsi"/>
        </w:rPr>
      </w:pPr>
      <w:r>
        <w:t xml:space="preserve">Figure </w:t>
      </w:r>
      <w:fldSimple w:instr=" SEQ Figure \* ARABIC ">
        <w:r w:rsidR="003D3632">
          <w:rPr>
            <w:noProof/>
          </w:rPr>
          <w:t>8</w:t>
        </w:r>
      </w:fldSimple>
      <w:r>
        <w:t xml:space="preserve"> Survey Results of Shuttle Usage</w:t>
      </w:r>
    </w:p>
    <w:p w14:paraId="6130F230" w14:textId="77777777" w:rsidR="00152694" w:rsidRDefault="00D83269" w:rsidP="0029633E">
      <w:pPr>
        <w:spacing w:after="200"/>
        <w:jc w:val="both"/>
        <w:rPr>
          <w:rFonts w:asciiTheme="minorHAnsi" w:hAnsiTheme="minorHAnsi"/>
        </w:rPr>
      </w:pPr>
      <w:r w:rsidRPr="00E077A3">
        <w:rPr>
          <w:rFonts w:asciiTheme="minorHAnsi" w:hAnsiTheme="minorHAnsi"/>
        </w:rPr>
        <w:t>Combined with the Shuttle’s average on-time rate of 95%, the Shuttle proved to be an efficient way to travel</w:t>
      </w:r>
      <w:r w:rsidR="00A413E8" w:rsidRPr="00E077A3">
        <w:rPr>
          <w:rFonts w:asciiTheme="minorHAnsi" w:hAnsiTheme="minorHAnsi"/>
        </w:rPr>
        <w:t>, arriving within a ± 5 minute window of the scheduled stop times.</w:t>
      </w:r>
      <w:r w:rsidR="002453F8" w:rsidRPr="00E077A3">
        <w:rPr>
          <w:rFonts w:asciiTheme="minorHAnsi" w:hAnsiTheme="minorHAnsi"/>
        </w:rPr>
        <w:t xml:space="preserve"> On-time percentages were </w:t>
      </w:r>
      <w:r w:rsidR="00B1227A" w:rsidRPr="00E077A3">
        <w:rPr>
          <w:rFonts w:asciiTheme="minorHAnsi" w:hAnsiTheme="minorHAnsi"/>
        </w:rPr>
        <w:t>calculated once the route adjustments were finalized in August</w:t>
      </w:r>
      <w:r w:rsidR="00F90499" w:rsidRPr="00E077A3">
        <w:rPr>
          <w:rFonts w:asciiTheme="minorHAnsi" w:hAnsiTheme="minorHAnsi"/>
        </w:rPr>
        <w:t xml:space="preserve"> 2016</w:t>
      </w:r>
      <w:r w:rsidR="00B1227A" w:rsidRPr="00E077A3">
        <w:rPr>
          <w:rFonts w:asciiTheme="minorHAnsi" w:hAnsiTheme="minorHAnsi"/>
        </w:rPr>
        <w:t>, allowing drivers and riders ample time to acclimate to the new route and schedule.</w:t>
      </w:r>
      <w:r w:rsidR="00E077A3">
        <w:rPr>
          <w:rFonts w:asciiTheme="minorHAnsi" w:hAnsiTheme="minorHAnsi"/>
        </w:rPr>
        <w:t xml:space="preserve"> Traffic delays during holidays were the main cause for decreases in the shuttle’s timeliness. </w:t>
      </w:r>
    </w:p>
    <w:p w14:paraId="6130F231" w14:textId="77777777" w:rsidR="00885D10" w:rsidRDefault="009D2DF4" w:rsidP="00152694">
      <w:pPr>
        <w:spacing w:after="200"/>
      </w:pPr>
      <w:r>
        <w:rPr>
          <w:noProof/>
        </w:rPr>
        <w:drawing>
          <wp:inline distT="0" distB="0" distL="0" distR="0" wp14:anchorId="6130F594" wp14:editId="6130F595">
            <wp:extent cx="5814204" cy="2743200"/>
            <wp:effectExtent l="0" t="0" r="15240" b="19050"/>
            <wp:docPr id="314" name="Chart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130F232" w14:textId="77777777" w:rsidR="009D2DF4" w:rsidRDefault="00885D10" w:rsidP="00885D10">
      <w:pPr>
        <w:pStyle w:val="Caption"/>
        <w:jc w:val="center"/>
        <w:rPr>
          <w:rFonts w:asciiTheme="minorHAnsi" w:hAnsiTheme="minorHAnsi"/>
        </w:rPr>
      </w:pPr>
      <w:r>
        <w:t xml:space="preserve">Figure </w:t>
      </w:r>
      <w:fldSimple w:instr=" SEQ Figure \* ARABIC ">
        <w:r w:rsidR="003D3632">
          <w:rPr>
            <w:noProof/>
          </w:rPr>
          <w:t>9</w:t>
        </w:r>
      </w:fldSimple>
      <w:r>
        <w:t xml:space="preserve"> Average On-Time Percentage of the Pilot Shuttle</w:t>
      </w:r>
    </w:p>
    <w:p w14:paraId="6130F233" w14:textId="77777777" w:rsidR="0089594F" w:rsidRDefault="00AC7DD9" w:rsidP="00F90499">
      <w:pPr>
        <w:spacing w:after="200" w:line="276" w:lineRule="auto"/>
        <w:jc w:val="both"/>
        <w:rPr>
          <w:rFonts w:asciiTheme="minorHAnsi" w:hAnsiTheme="minorHAnsi"/>
        </w:rPr>
      </w:pPr>
      <w:r>
        <w:rPr>
          <w:rFonts w:asciiTheme="minorHAnsi" w:hAnsiTheme="minorHAnsi"/>
        </w:rPr>
        <w:lastRenderedPageBreak/>
        <w:t xml:space="preserve">According to the survey respondents, 31% said they rode the shuttle to work, 28% used it to go shopping, 16% as a means to look for work, 15% for medical purposes, and 10% for educational reasons. </w:t>
      </w:r>
      <w:r w:rsidR="00D83269" w:rsidRPr="00572FF8">
        <w:rPr>
          <w:rFonts w:asciiTheme="minorHAnsi" w:hAnsiTheme="minorHAnsi"/>
        </w:rPr>
        <w:t xml:space="preserve">As the experience with the pilot shuttle </w:t>
      </w:r>
      <w:r w:rsidR="00D83269">
        <w:rPr>
          <w:rFonts w:asciiTheme="minorHAnsi" w:hAnsiTheme="minorHAnsi"/>
        </w:rPr>
        <w:t>indicated</w:t>
      </w:r>
      <w:r w:rsidR="00D83269" w:rsidRPr="00572FF8">
        <w:rPr>
          <w:rFonts w:asciiTheme="minorHAnsi" w:hAnsiTheme="minorHAnsi"/>
        </w:rPr>
        <w:t>, the opportunity for transit to be the linkage to employment is especially true for lower-</w:t>
      </w:r>
      <w:r w:rsidR="00C2265B">
        <w:rPr>
          <w:rFonts w:asciiTheme="minorHAnsi" w:hAnsiTheme="minorHAnsi"/>
        </w:rPr>
        <w:t>wage workers and for adults who have</w:t>
      </w:r>
      <w:r w:rsidR="00D83269" w:rsidRPr="00572FF8">
        <w:rPr>
          <w:rFonts w:asciiTheme="minorHAnsi" w:hAnsiTheme="minorHAnsi"/>
        </w:rPr>
        <w:t xml:space="preserve"> not been able to maintain a steady work history in the absence of transit. </w:t>
      </w:r>
      <w:r w:rsidR="000B7482">
        <w:rPr>
          <w:rFonts w:asciiTheme="minorHAnsi" w:hAnsiTheme="minorHAnsi"/>
        </w:rPr>
        <w:t>A permanent</w:t>
      </w:r>
      <w:r w:rsidR="00D83269" w:rsidRPr="00572FF8">
        <w:rPr>
          <w:rFonts w:asciiTheme="minorHAnsi" w:hAnsiTheme="minorHAnsi"/>
        </w:rPr>
        <w:t xml:space="preserve"> transit </w:t>
      </w:r>
      <w:r w:rsidR="000B7482">
        <w:rPr>
          <w:rFonts w:asciiTheme="minorHAnsi" w:hAnsiTheme="minorHAnsi"/>
        </w:rPr>
        <w:t xml:space="preserve">system </w:t>
      </w:r>
      <w:r w:rsidR="00D83269" w:rsidRPr="00572FF8">
        <w:rPr>
          <w:rFonts w:asciiTheme="minorHAnsi" w:hAnsiTheme="minorHAnsi"/>
        </w:rPr>
        <w:t xml:space="preserve">that links otherwise-unemployed individuals to their jobs </w:t>
      </w:r>
      <w:r w:rsidR="000B7482">
        <w:rPr>
          <w:rFonts w:asciiTheme="minorHAnsi" w:hAnsiTheme="minorHAnsi"/>
        </w:rPr>
        <w:t>might be less</w:t>
      </w:r>
      <w:r w:rsidR="00D83269" w:rsidRPr="00572FF8">
        <w:rPr>
          <w:rFonts w:asciiTheme="minorHAnsi" w:hAnsiTheme="minorHAnsi"/>
        </w:rPr>
        <w:t xml:space="preserve"> than the cost of providing housing and supportive services to adults whose lack of transporta</w:t>
      </w:r>
      <w:r w:rsidR="00C2265B">
        <w:rPr>
          <w:rFonts w:asciiTheme="minorHAnsi" w:hAnsiTheme="minorHAnsi"/>
        </w:rPr>
        <w:t>tion is the primary reason they a</w:t>
      </w:r>
      <w:r w:rsidR="00D83269" w:rsidRPr="00572FF8">
        <w:rPr>
          <w:rFonts w:asciiTheme="minorHAnsi" w:hAnsiTheme="minorHAnsi"/>
        </w:rPr>
        <w:t>re not in the workforce</w:t>
      </w:r>
      <w:r w:rsidR="000B7482">
        <w:rPr>
          <w:rFonts w:asciiTheme="minorHAnsi" w:hAnsiTheme="minorHAnsi"/>
        </w:rPr>
        <w:t xml:space="preserve">. This would be a low-cost mobility benefit, and is examined on page </w:t>
      </w:r>
      <w:r w:rsidR="004104E8">
        <w:rPr>
          <w:rFonts w:asciiTheme="minorHAnsi" w:hAnsiTheme="minorHAnsi"/>
        </w:rPr>
        <w:t>21</w:t>
      </w:r>
      <w:r w:rsidR="000B7482">
        <w:rPr>
          <w:rFonts w:asciiTheme="minorHAnsi" w:hAnsiTheme="minorHAnsi"/>
        </w:rPr>
        <w:t xml:space="preserve"> of this report</w:t>
      </w:r>
      <w:r w:rsidR="00D83269">
        <w:rPr>
          <w:rFonts w:asciiTheme="minorHAnsi" w:hAnsiTheme="minorHAnsi"/>
        </w:rPr>
        <w:t xml:space="preserve">. </w:t>
      </w:r>
      <w:r>
        <w:rPr>
          <w:rFonts w:asciiTheme="minorHAnsi" w:hAnsiTheme="minorHAnsi"/>
        </w:rPr>
        <w:t xml:space="preserve"> </w:t>
      </w:r>
    </w:p>
    <w:p w14:paraId="6130F234" w14:textId="77777777" w:rsidR="00E33C92" w:rsidRDefault="00E33C92" w:rsidP="00D83269">
      <w:pPr>
        <w:rPr>
          <w:rFonts w:asciiTheme="minorHAnsi" w:hAnsiTheme="minorHAnsi"/>
        </w:rPr>
      </w:pPr>
    </w:p>
    <w:p w14:paraId="6130F235" w14:textId="77777777" w:rsidR="00885D10" w:rsidRDefault="0089594F" w:rsidP="00885D10">
      <w:pPr>
        <w:keepNext/>
        <w:spacing w:after="200" w:line="276" w:lineRule="auto"/>
        <w:jc w:val="center"/>
      </w:pPr>
      <w:r>
        <w:rPr>
          <w:noProof/>
        </w:rPr>
        <w:drawing>
          <wp:inline distT="0" distB="0" distL="0" distR="0" wp14:anchorId="6130F596" wp14:editId="6130F597">
            <wp:extent cx="5753820" cy="5270740"/>
            <wp:effectExtent l="0" t="0" r="18415" b="254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30F236" w14:textId="77777777" w:rsidR="00FE22CF" w:rsidRDefault="00885D10" w:rsidP="00885D10">
      <w:pPr>
        <w:pStyle w:val="Caption"/>
        <w:jc w:val="center"/>
        <w:rPr>
          <w:rFonts w:asciiTheme="minorHAnsi" w:hAnsiTheme="minorHAnsi"/>
          <w:szCs w:val="22"/>
        </w:rPr>
      </w:pPr>
      <w:r>
        <w:t xml:space="preserve">Figure </w:t>
      </w:r>
      <w:fldSimple w:instr=" SEQ Figure \* ARABIC ">
        <w:r w:rsidR="003D3632">
          <w:rPr>
            <w:noProof/>
          </w:rPr>
          <w:t>10</w:t>
        </w:r>
      </w:fldSimple>
      <w:r>
        <w:t xml:space="preserve"> Survey Results of Purpose for Riding the Shuttle</w:t>
      </w:r>
    </w:p>
    <w:p w14:paraId="6130F237" w14:textId="77777777" w:rsidR="009165A0" w:rsidRDefault="009165A0">
      <w:pPr>
        <w:spacing w:after="200" w:line="276" w:lineRule="auto"/>
        <w:rPr>
          <w:rFonts w:asciiTheme="minorHAnsi" w:hAnsiTheme="minorHAnsi"/>
          <w:szCs w:val="22"/>
        </w:rPr>
      </w:pPr>
      <w:r>
        <w:rPr>
          <w:rFonts w:asciiTheme="minorHAnsi" w:hAnsiTheme="minorHAnsi"/>
          <w:szCs w:val="22"/>
        </w:rPr>
        <w:br w:type="page"/>
      </w:r>
    </w:p>
    <w:p w14:paraId="6130F238" w14:textId="77777777" w:rsidR="00FE22CF" w:rsidRDefault="00AF25A1" w:rsidP="00F20795">
      <w:pPr>
        <w:jc w:val="both"/>
        <w:rPr>
          <w:rFonts w:asciiTheme="minorHAnsi" w:hAnsiTheme="minorHAnsi"/>
          <w:szCs w:val="22"/>
        </w:rPr>
      </w:pPr>
      <w:r>
        <w:rPr>
          <w:rFonts w:asciiTheme="minorHAnsi" w:hAnsiTheme="minorHAnsi"/>
          <w:szCs w:val="22"/>
        </w:rPr>
        <w:lastRenderedPageBreak/>
        <w:t xml:space="preserve">The DHS funding for the shuttle allowed consumers to ride free of charge throughout the duration of the pilot program. When surveyed, the majority of riders indicated they would be willing to pay for a monthly pass option, while another third indicated a willingness to pay $1 per trip. The amount of a monthly pass would </w:t>
      </w:r>
      <w:r w:rsidR="00750B3A">
        <w:rPr>
          <w:rFonts w:asciiTheme="minorHAnsi" w:hAnsiTheme="minorHAnsi"/>
          <w:szCs w:val="22"/>
        </w:rPr>
        <w:t xml:space="preserve">be determined </w:t>
      </w:r>
      <w:r w:rsidR="00F56241">
        <w:rPr>
          <w:rFonts w:asciiTheme="minorHAnsi" w:hAnsiTheme="minorHAnsi"/>
          <w:szCs w:val="22"/>
        </w:rPr>
        <w:t>by policy makers, should a permanent transit system be implemented.</w:t>
      </w:r>
    </w:p>
    <w:p w14:paraId="6130F239" w14:textId="77777777" w:rsidR="009165A0" w:rsidRDefault="009165A0" w:rsidP="00F20795">
      <w:pPr>
        <w:jc w:val="both"/>
        <w:rPr>
          <w:rFonts w:asciiTheme="minorHAnsi" w:hAnsiTheme="minorHAnsi"/>
          <w:szCs w:val="22"/>
        </w:rPr>
      </w:pPr>
    </w:p>
    <w:p w14:paraId="6130F23A" w14:textId="77777777" w:rsidR="009165A0" w:rsidRDefault="009165A0" w:rsidP="00F20795">
      <w:pPr>
        <w:jc w:val="both"/>
        <w:rPr>
          <w:rFonts w:asciiTheme="minorHAnsi" w:hAnsiTheme="minorHAnsi"/>
          <w:szCs w:val="22"/>
        </w:rPr>
      </w:pPr>
    </w:p>
    <w:p w14:paraId="6130F23B" w14:textId="77777777" w:rsidR="009165A0" w:rsidRDefault="009165A0" w:rsidP="00F20795">
      <w:pPr>
        <w:jc w:val="both"/>
        <w:rPr>
          <w:rFonts w:asciiTheme="minorHAnsi" w:hAnsiTheme="minorHAnsi"/>
          <w:szCs w:val="22"/>
        </w:rPr>
      </w:pPr>
    </w:p>
    <w:p w14:paraId="6130F23C" w14:textId="77777777" w:rsidR="00885D10" w:rsidRDefault="00750B3A" w:rsidP="00885D10">
      <w:pPr>
        <w:keepNext/>
        <w:jc w:val="center"/>
      </w:pPr>
      <w:r>
        <w:rPr>
          <w:noProof/>
        </w:rPr>
        <w:drawing>
          <wp:inline distT="0" distB="0" distL="0" distR="0" wp14:anchorId="6130F598" wp14:editId="6130F599">
            <wp:extent cx="6115050" cy="466725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30F23D" w14:textId="77777777" w:rsidR="00FE22CF" w:rsidRDefault="00885D10" w:rsidP="00885D10">
      <w:pPr>
        <w:pStyle w:val="Caption"/>
        <w:jc w:val="center"/>
        <w:rPr>
          <w:rFonts w:asciiTheme="minorHAnsi" w:hAnsiTheme="minorHAnsi"/>
          <w:szCs w:val="22"/>
        </w:rPr>
      </w:pPr>
      <w:r>
        <w:t xml:space="preserve">Figure </w:t>
      </w:r>
      <w:fldSimple w:instr=" SEQ Figure \* ARABIC ">
        <w:r w:rsidR="003D3632">
          <w:rPr>
            <w:noProof/>
          </w:rPr>
          <w:t>11</w:t>
        </w:r>
      </w:fldSimple>
      <w:r>
        <w:t xml:space="preserve"> Survey Results of Amount Willing to Pay </w:t>
      </w:r>
      <w:r w:rsidR="001278B9">
        <w:t>per Trip on a Permanent Transit System</w:t>
      </w:r>
    </w:p>
    <w:p w14:paraId="6130F23E" w14:textId="77777777" w:rsidR="00FE22CF" w:rsidRDefault="00FE22CF" w:rsidP="00FE22CF">
      <w:pPr>
        <w:rPr>
          <w:rFonts w:asciiTheme="minorHAnsi" w:hAnsiTheme="minorHAnsi"/>
          <w:szCs w:val="22"/>
        </w:rPr>
      </w:pPr>
    </w:p>
    <w:p w14:paraId="6130F23F" w14:textId="77777777" w:rsidR="009165A0" w:rsidRDefault="009165A0" w:rsidP="00FE22CF">
      <w:pPr>
        <w:rPr>
          <w:rFonts w:asciiTheme="minorHAnsi" w:hAnsiTheme="minorHAnsi"/>
          <w:szCs w:val="22"/>
        </w:rPr>
      </w:pPr>
    </w:p>
    <w:p w14:paraId="6130F240" w14:textId="77777777" w:rsidR="00FE22CF" w:rsidRDefault="009165A0" w:rsidP="00F90499">
      <w:pPr>
        <w:jc w:val="both"/>
        <w:rPr>
          <w:rFonts w:asciiTheme="minorHAnsi" w:hAnsiTheme="minorHAnsi"/>
          <w:szCs w:val="22"/>
        </w:rPr>
      </w:pPr>
      <w:r>
        <w:rPr>
          <w:rFonts w:asciiTheme="minorHAnsi" w:hAnsiTheme="minorHAnsi"/>
          <w:szCs w:val="22"/>
        </w:rPr>
        <w:t xml:space="preserve">Other cities throughout the state offer monthly passes for transit riders, which range in price from $30 to $95. They also offer </w:t>
      </w:r>
      <w:r w:rsidR="00927866">
        <w:rPr>
          <w:rFonts w:asciiTheme="minorHAnsi" w:hAnsiTheme="minorHAnsi"/>
          <w:szCs w:val="22"/>
        </w:rPr>
        <w:t xml:space="preserve">senior or </w:t>
      </w:r>
      <w:r>
        <w:rPr>
          <w:rFonts w:asciiTheme="minorHAnsi" w:hAnsiTheme="minorHAnsi"/>
          <w:szCs w:val="22"/>
        </w:rPr>
        <w:t>reduced rates for passenge</w:t>
      </w:r>
      <w:r w:rsidR="00927866">
        <w:rPr>
          <w:rFonts w:asciiTheme="minorHAnsi" w:hAnsiTheme="minorHAnsi"/>
          <w:szCs w:val="22"/>
        </w:rPr>
        <w:t>rs who meet certain criteria.</w:t>
      </w:r>
    </w:p>
    <w:p w14:paraId="6130F241" w14:textId="77777777" w:rsidR="00FD41FE" w:rsidRDefault="00FD41FE">
      <w:pPr>
        <w:spacing w:after="200" w:line="276" w:lineRule="auto"/>
      </w:pPr>
    </w:p>
    <w:p w14:paraId="6130F242" w14:textId="77777777" w:rsidR="00D54B42" w:rsidRDefault="00D54B42">
      <w:pPr>
        <w:spacing w:after="200" w:line="276" w:lineRule="auto"/>
        <w:rPr>
          <w:rFonts w:asciiTheme="majorHAnsi" w:eastAsiaTheme="majorEastAsia" w:hAnsiTheme="majorHAnsi" w:cstheme="majorBidi"/>
          <w:color w:val="17365D" w:themeColor="text2" w:themeShade="BF"/>
          <w:spacing w:val="5"/>
          <w:kern w:val="28"/>
          <w:sz w:val="52"/>
          <w:szCs w:val="52"/>
        </w:rPr>
      </w:pPr>
      <w:r>
        <w:br w:type="page"/>
      </w:r>
    </w:p>
    <w:p w14:paraId="6130F243" w14:textId="77777777" w:rsidR="00E33C92" w:rsidRPr="009165A0" w:rsidRDefault="00E33C92" w:rsidP="007D1E3A">
      <w:pPr>
        <w:pStyle w:val="Heading2"/>
      </w:pPr>
      <w:bookmarkStart w:id="3" w:name="_Toc477860549"/>
      <w:r>
        <w:lastRenderedPageBreak/>
        <w:t>National Recognition</w:t>
      </w:r>
      <w:bookmarkEnd w:id="3"/>
    </w:p>
    <w:p w14:paraId="6130F244" w14:textId="77777777" w:rsidR="00E33C92" w:rsidRDefault="00E33C92" w:rsidP="00C77975">
      <w:pPr>
        <w:rPr>
          <w:rFonts w:asciiTheme="minorHAnsi" w:hAnsiTheme="minorHAnsi"/>
          <w:szCs w:val="22"/>
        </w:rPr>
      </w:pPr>
    </w:p>
    <w:p w14:paraId="6130F245" w14:textId="77777777" w:rsidR="00C77975" w:rsidRDefault="00917FB4" w:rsidP="00F20795">
      <w:pPr>
        <w:jc w:val="both"/>
        <w:rPr>
          <w:rFonts w:asciiTheme="majorHAnsi" w:eastAsiaTheme="majorEastAsia" w:hAnsiTheme="majorHAnsi" w:cstheme="majorBidi"/>
          <w:color w:val="17365D" w:themeColor="text2" w:themeShade="BF"/>
          <w:spacing w:val="5"/>
          <w:kern w:val="28"/>
          <w:sz w:val="52"/>
          <w:szCs w:val="52"/>
        </w:rPr>
      </w:pPr>
      <w:r>
        <w:rPr>
          <w:noProof/>
        </w:rPr>
        <w:drawing>
          <wp:anchor distT="0" distB="0" distL="114300" distR="114300" simplePos="0" relativeHeight="251651584" behindDoc="0" locked="0" layoutInCell="1" allowOverlap="1" wp14:anchorId="6130F59A" wp14:editId="6130F59B">
            <wp:simplePos x="0" y="0"/>
            <wp:positionH relativeFrom="column">
              <wp:posOffset>2867025</wp:posOffset>
            </wp:positionH>
            <wp:positionV relativeFrom="paragraph">
              <wp:posOffset>986790</wp:posOffset>
            </wp:positionV>
            <wp:extent cx="2943225" cy="2785110"/>
            <wp:effectExtent l="190500" t="190500" r="200025" b="18669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rotWithShape="1">
                    <a:blip r:embed="rId26" cstate="print">
                      <a:extLst>
                        <a:ext uri="{28A0092B-C50C-407E-A947-70E740481C1C}">
                          <a14:useLocalDpi xmlns:a14="http://schemas.microsoft.com/office/drawing/2010/main" val="0"/>
                        </a:ext>
                      </a:extLst>
                    </a:blip>
                    <a:srcRect r="6290" b="16724"/>
                    <a:stretch/>
                  </pic:blipFill>
                  <pic:spPr bwMode="auto">
                    <a:xfrm>
                      <a:off x="0" y="0"/>
                      <a:ext cx="2943225" cy="278511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7975">
        <w:rPr>
          <w:rFonts w:asciiTheme="minorHAnsi" w:hAnsiTheme="minorHAnsi"/>
          <w:szCs w:val="22"/>
        </w:rPr>
        <w:t xml:space="preserve">During the 14 months of operation, the Pilot Shuttle Program was recognized with several </w:t>
      </w:r>
      <w:r w:rsidR="001C728A">
        <w:rPr>
          <w:rFonts w:asciiTheme="minorHAnsi" w:hAnsiTheme="minorHAnsi"/>
          <w:szCs w:val="22"/>
        </w:rPr>
        <w:t xml:space="preserve">state and </w:t>
      </w:r>
      <w:r w:rsidR="00C77975">
        <w:rPr>
          <w:rFonts w:asciiTheme="minorHAnsi" w:hAnsiTheme="minorHAnsi"/>
          <w:szCs w:val="22"/>
        </w:rPr>
        <w:t xml:space="preserve">national awards for innovation and transportation planning. Members of the SGRC were asked to present at state and national conferences about the challenges and successes of the program. </w:t>
      </w:r>
    </w:p>
    <w:p w14:paraId="6130F246" w14:textId="77777777" w:rsidR="002166E1" w:rsidRDefault="00E077A3">
      <w:pPr>
        <w:spacing w:after="200" w:line="276" w:lineRule="auto"/>
      </w:pPr>
      <w:r>
        <w:rPr>
          <w:noProof/>
        </w:rPr>
        <w:drawing>
          <wp:anchor distT="0" distB="0" distL="114300" distR="114300" simplePos="0" relativeHeight="251655680" behindDoc="0" locked="0" layoutInCell="1" allowOverlap="1" wp14:anchorId="6130F59C" wp14:editId="6130F59D">
            <wp:simplePos x="0" y="0"/>
            <wp:positionH relativeFrom="column">
              <wp:posOffset>2865755</wp:posOffset>
            </wp:positionH>
            <wp:positionV relativeFrom="paragraph">
              <wp:posOffset>3969385</wp:posOffset>
            </wp:positionV>
            <wp:extent cx="2998470" cy="2391410"/>
            <wp:effectExtent l="190500" t="190500" r="182880" b="199390"/>
            <wp:wrapSquare wrapText="bothSides"/>
            <wp:docPr id="15" name="Picture 15" descr="C:\Users\jdillard\Desktop\NADO Innovation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jdillard\Desktop\NADO Innovation Award.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8470" cy="2391410"/>
                    </a:xfrm>
                    <a:prstGeom prst="rect">
                      <a:avLst/>
                    </a:prstGeom>
                    <a:ln>
                      <a:noFill/>
                    </a:ln>
                    <a:effectLst>
                      <a:outerShdw blurRad="190500" algn="tl" rotWithShape="0">
                        <a:srgbClr val="000000">
                          <a:alpha val="70000"/>
                        </a:srgbClr>
                      </a:outerShdw>
                    </a:effectLst>
                  </pic:spPr>
                </pic:pic>
              </a:graphicData>
            </a:graphic>
          </wp:anchor>
        </w:drawing>
      </w:r>
      <w:r>
        <w:rPr>
          <w:noProof/>
        </w:rPr>
        <w:drawing>
          <wp:anchor distT="0" distB="0" distL="114300" distR="114300" simplePos="0" relativeHeight="251657728" behindDoc="0" locked="0" layoutInCell="1" allowOverlap="1" wp14:anchorId="6130F59E" wp14:editId="6130F59F">
            <wp:simplePos x="0" y="0"/>
            <wp:positionH relativeFrom="column">
              <wp:posOffset>-71755</wp:posOffset>
            </wp:positionH>
            <wp:positionV relativeFrom="paragraph">
              <wp:posOffset>3969385</wp:posOffset>
            </wp:positionV>
            <wp:extent cx="2852420" cy="2391410"/>
            <wp:effectExtent l="190500" t="190500" r="195580" b="199390"/>
            <wp:wrapSquare wrapText="bothSides"/>
            <wp:docPr id="17" name="Picture 17" descr="C:\Users\jdillard\Desktop\Shuttle GTA 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jdillard\Desktop\Shuttle GTA Award.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52420" cy="2391410"/>
                    </a:xfrm>
                    <a:prstGeom prst="rect">
                      <a:avLst/>
                    </a:prstGeom>
                    <a:ln>
                      <a:noFill/>
                    </a:ln>
                    <a:effectLst>
                      <a:outerShdw blurRad="190500" algn="tl" rotWithShape="0">
                        <a:srgbClr val="000000">
                          <a:alpha val="70000"/>
                        </a:srgbClr>
                      </a:outerShdw>
                    </a:effectLst>
                  </pic:spPr>
                </pic:pic>
              </a:graphicData>
            </a:graphic>
          </wp:anchor>
        </w:drawing>
      </w:r>
      <w:r>
        <w:rPr>
          <w:noProof/>
        </w:rPr>
        <mc:AlternateContent>
          <mc:Choice Requires="wps">
            <w:drawing>
              <wp:anchor distT="0" distB="0" distL="114300" distR="114300" simplePos="0" relativeHeight="251661824" behindDoc="0" locked="0" layoutInCell="1" allowOverlap="1" wp14:anchorId="6130F5A0" wp14:editId="6130F5A1">
                <wp:simplePos x="0" y="0"/>
                <wp:positionH relativeFrom="column">
                  <wp:posOffset>2939415</wp:posOffset>
                </wp:positionH>
                <wp:positionV relativeFrom="paragraph">
                  <wp:posOffset>3068955</wp:posOffset>
                </wp:positionV>
                <wp:extent cx="2734310" cy="1403985"/>
                <wp:effectExtent l="0" t="0" r="27940" b="1397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3985"/>
                        </a:xfrm>
                        <a:prstGeom prst="rect">
                          <a:avLst/>
                        </a:prstGeom>
                        <a:solidFill>
                          <a:srgbClr val="FFFFFF"/>
                        </a:solidFill>
                        <a:ln w="9525">
                          <a:solidFill>
                            <a:srgbClr val="000000"/>
                          </a:solidFill>
                          <a:miter lim="800000"/>
                          <a:headEnd/>
                          <a:tailEnd/>
                        </a:ln>
                      </wps:spPr>
                      <wps:txbx>
                        <w:txbxContent>
                          <w:p w14:paraId="6130F5FC" w14:textId="77777777" w:rsidR="006503A9" w:rsidRPr="00F20795" w:rsidRDefault="006503A9" w:rsidP="00F20795">
                            <w:pPr>
                              <w:jc w:val="center"/>
                              <w:rPr>
                                <w:sz w:val="20"/>
                              </w:rPr>
                            </w:pPr>
                            <w:r w:rsidRPr="00F20795">
                              <w:rPr>
                                <w:sz w:val="20"/>
                              </w:rPr>
                              <w:t xml:space="preserve">Corey Hull presents </w:t>
                            </w:r>
                            <w:r>
                              <w:rPr>
                                <w:sz w:val="20"/>
                              </w:rPr>
                              <w:t xml:space="preserve">a “poster session” at the CTAA </w:t>
                            </w:r>
                            <w:r w:rsidRPr="00F20795">
                              <w:rPr>
                                <w:sz w:val="20"/>
                              </w:rPr>
                              <w:t xml:space="preserve">national conference </w:t>
                            </w:r>
                            <w:r>
                              <w:rPr>
                                <w:sz w:val="20"/>
                              </w:rPr>
                              <w:t>in Portland, 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F5A0" id="_x0000_s1036" type="#_x0000_t202" style="position:absolute;margin-left:231.45pt;margin-top:241.65pt;width:215.3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AwJwIAAE0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">
                <v:textbox style="mso-fit-shape-to-text:t">
                  <w:txbxContent>
                    <w:p w14:paraId="6130F5FC" w14:textId="77777777" w:rsidR="006503A9" w:rsidRPr="00F20795" w:rsidRDefault="006503A9" w:rsidP="00F20795">
                      <w:pPr>
                        <w:jc w:val="center"/>
                        <w:rPr>
                          <w:sz w:val="20"/>
                        </w:rPr>
                      </w:pPr>
                      <w:r w:rsidRPr="00F20795">
                        <w:rPr>
                          <w:sz w:val="20"/>
                        </w:rPr>
                        <w:t xml:space="preserve">Corey Hull presents </w:t>
                      </w:r>
                      <w:r>
                        <w:rPr>
                          <w:sz w:val="20"/>
                        </w:rPr>
                        <w:t xml:space="preserve">a “poster session” at the CTAA </w:t>
                      </w:r>
                      <w:r w:rsidRPr="00F20795">
                        <w:rPr>
                          <w:sz w:val="20"/>
                        </w:rPr>
                        <w:t xml:space="preserve">national conference </w:t>
                      </w:r>
                      <w:r>
                        <w:rPr>
                          <w:sz w:val="20"/>
                        </w:rPr>
                        <w:t>in Portland, OR</w:t>
                      </w:r>
                    </w:p>
                  </w:txbxContent>
                </v:textbox>
              </v:shape>
            </w:pict>
          </mc:Fallback>
        </mc:AlternateContent>
      </w:r>
      <w:r w:rsidR="00620C2B">
        <w:rPr>
          <w:noProof/>
        </w:rPr>
        <mc:AlternateContent>
          <mc:Choice Requires="wps">
            <w:drawing>
              <wp:anchor distT="0" distB="0" distL="114300" distR="114300" simplePos="0" relativeHeight="251665920" behindDoc="0" locked="0" layoutInCell="1" allowOverlap="1" wp14:anchorId="6130F5A2" wp14:editId="6130F5A3">
                <wp:simplePos x="0" y="0"/>
                <wp:positionH relativeFrom="column">
                  <wp:posOffset>-79375</wp:posOffset>
                </wp:positionH>
                <wp:positionV relativeFrom="paragraph">
                  <wp:posOffset>6489065</wp:posOffset>
                </wp:positionV>
                <wp:extent cx="2734310" cy="1403985"/>
                <wp:effectExtent l="0" t="0" r="27940" b="139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3985"/>
                        </a:xfrm>
                        <a:prstGeom prst="rect">
                          <a:avLst/>
                        </a:prstGeom>
                        <a:solidFill>
                          <a:srgbClr val="FFFFFF"/>
                        </a:solidFill>
                        <a:ln w="9525">
                          <a:solidFill>
                            <a:srgbClr val="000000"/>
                          </a:solidFill>
                          <a:miter lim="800000"/>
                          <a:headEnd/>
                          <a:tailEnd/>
                        </a:ln>
                      </wps:spPr>
                      <wps:txbx>
                        <w:txbxContent>
                          <w:p w14:paraId="6130F5FD" w14:textId="77777777" w:rsidR="006503A9" w:rsidRPr="00F20795" w:rsidRDefault="006503A9" w:rsidP="00F20795">
                            <w:pPr>
                              <w:jc w:val="center"/>
                              <w:rPr>
                                <w:sz w:val="20"/>
                              </w:rPr>
                            </w:pPr>
                            <w:r>
                              <w:rPr>
                                <w:sz w:val="20"/>
                              </w:rPr>
                              <w:t>The Georgia Transit Association recognizes the innovative strategy and increased performance of transit in the Valdosta-Lowndes County area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F5A2" id="_x0000_s1037" type="#_x0000_t202" style="position:absolute;margin-left:-6.25pt;margin-top:510.95pt;width:215.3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0EJwIAAE0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">
                <v:textbox style="mso-fit-shape-to-text:t">
                  <w:txbxContent>
                    <w:p w14:paraId="6130F5FD" w14:textId="77777777" w:rsidR="006503A9" w:rsidRPr="00F20795" w:rsidRDefault="006503A9" w:rsidP="00F20795">
                      <w:pPr>
                        <w:jc w:val="center"/>
                        <w:rPr>
                          <w:sz w:val="20"/>
                        </w:rPr>
                      </w:pPr>
                      <w:r>
                        <w:rPr>
                          <w:sz w:val="20"/>
                        </w:rPr>
                        <w:t>The Georgia Transit Association recognizes the innovative strategy and increased performance of transit in the Valdosta-Lowndes County area</w:t>
                      </w:r>
                    </w:p>
                  </w:txbxContent>
                </v:textbox>
              </v:shape>
            </w:pict>
          </mc:Fallback>
        </mc:AlternateContent>
      </w:r>
      <w:r w:rsidR="00B00BE6">
        <w:rPr>
          <w:noProof/>
        </w:rPr>
        <mc:AlternateContent>
          <mc:Choice Requires="wps">
            <w:drawing>
              <wp:anchor distT="0" distB="0" distL="114300" distR="114300" simplePos="0" relativeHeight="251667968" behindDoc="0" locked="0" layoutInCell="1" allowOverlap="1" wp14:anchorId="6130F5A4" wp14:editId="6130F5A5">
                <wp:simplePos x="0" y="0"/>
                <wp:positionH relativeFrom="column">
                  <wp:posOffset>2942590</wp:posOffset>
                </wp:positionH>
                <wp:positionV relativeFrom="paragraph">
                  <wp:posOffset>6494780</wp:posOffset>
                </wp:positionV>
                <wp:extent cx="2734310" cy="1403985"/>
                <wp:effectExtent l="0" t="0" r="27940" b="139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3985"/>
                        </a:xfrm>
                        <a:prstGeom prst="rect">
                          <a:avLst/>
                        </a:prstGeom>
                        <a:solidFill>
                          <a:srgbClr val="FFFFFF"/>
                        </a:solidFill>
                        <a:ln w="9525">
                          <a:solidFill>
                            <a:srgbClr val="000000"/>
                          </a:solidFill>
                          <a:miter lim="800000"/>
                          <a:headEnd/>
                          <a:tailEnd/>
                        </a:ln>
                      </wps:spPr>
                      <wps:txbx>
                        <w:txbxContent>
                          <w:p w14:paraId="6130F5FE" w14:textId="77777777" w:rsidR="006503A9" w:rsidRPr="00F20795" w:rsidRDefault="006503A9" w:rsidP="00F20795">
                            <w:pPr>
                              <w:jc w:val="center"/>
                              <w:rPr>
                                <w:sz w:val="20"/>
                              </w:rPr>
                            </w:pPr>
                            <w:r>
                              <w:rPr>
                                <w:sz w:val="20"/>
                              </w:rPr>
                              <w:t>The Shuttle’s innovative use of DHS funding to meet the goals of the Coordinated Transportation program and local Common Community Vision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F5A4" id="_x0000_s1038" type="#_x0000_t202" style="position:absolute;margin-left:231.7pt;margin-top:511.4pt;width:215.3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">
                <v:textbox style="mso-fit-shape-to-text:t">
                  <w:txbxContent>
                    <w:p w14:paraId="6130F5FE" w14:textId="77777777" w:rsidR="006503A9" w:rsidRPr="00F20795" w:rsidRDefault="006503A9" w:rsidP="00F20795">
                      <w:pPr>
                        <w:jc w:val="center"/>
                        <w:rPr>
                          <w:sz w:val="20"/>
                        </w:rPr>
                      </w:pPr>
                      <w:r>
                        <w:rPr>
                          <w:sz w:val="20"/>
                        </w:rPr>
                        <w:t>The Shuttle’s innovative use of DHS funding to meet the goals of the Coordinated Transportation program and local Common Community Vision</w:t>
                      </w:r>
                    </w:p>
                  </w:txbxContent>
                </v:textbox>
              </v:shape>
            </w:pict>
          </mc:Fallback>
        </mc:AlternateContent>
      </w:r>
      <w:r w:rsidR="00B00BE6">
        <w:rPr>
          <w:noProof/>
        </w:rPr>
        <mc:AlternateContent>
          <mc:Choice Requires="wps">
            <w:drawing>
              <wp:anchor distT="0" distB="0" distL="114300" distR="114300" simplePos="0" relativeHeight="251663872" behindDoc="0" locked="0" layoutInCell="1" allowOverlap="1" wp14:anchorId="6130F5A6" wp14:editId="6130F5A7">
                <wp:simplePos x="0" y="0"/>
                <wp:positionH relativeFrom="column">
                  <wp:posOffset>-18415</wp:posOffset>
                </wp:positionH>
                <wp:positionV relativeFrom="paragraph">
                  <wp:posOffset>3082290</wp:posOffset>
                </wp:positionV>
                <wp:extent cx="2734310" cy="1403985"/>
                <wp:effectExtent l="0" t="0" r="27940" b="139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03985"/>
                        </a:xfrm>
                        <a:prstGeom prst="rect">
                          <a:avLst/>
                        </a:prstGeom>
                        <a:solidFill>
                          <a:srgbClr val="FFFFFF"/>
                        </a:solidFill>
                        <a:ln w="9525">
                          <a:solidFill>
                            <a:srgbClr val="000000"/>
                          </a:solidFill>
                          <a:miter lim="800000"/>
                          <a:headEnd/>
                          <a:tailEnd/>
                        </a:ln>
                      </wps:spPr>
                      <wps:txbx>
                        <w:txbxContent>
                          <w:p w14:paraId="6130F5FF" w14:textId="77777777" w:rsidR="006503A9" w:rsidRPr="00F20795" w:rsidRDefault="006503A9" w:rsidP="00F20795">
                            <w:pPr>
                              <w:jc w:val="center"/>
                              <w:rPr>
                                <w:sz w:val="20"/>
                              </w:rPr>
                            </w:pPr>
                            <w:r>
                              <w:rPr>
                                <w:sz w:val="20"/>
                              </w:rPr>
                              <w:t xml:space="preserve">The Shuttle is recognized for its outstanding efforts in planning and implementation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30F5A6" id="_x0000_s1039" type="#_x0000_t202" style="position:absolute;margin-left:-1.45pt;margin-top:242.7pt;width:215.3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">
                <v:textbox style="mso-fit-shape-to-text:t">
                  <w:txbxContent>
                    <w:p w14:paraId="6130F5FF" w14:textId="77777777" w:rsidR="006503A9" w:rsidRPr="00F20795" w:rsidRDefault="006503A9" w:rsidP="00F20795">
                      <w:pPr>
                        <w:jc w:val="center"/>
                        <w:rPr>
                          <w:sz w:val="20"/>
                        </w:rPr>
                      </w:pPr>
                      <w:r>
                        <w:rPr>
                          <w:sz w:val="20"/>
                        </w:rPr>
                        <w:t xml:space="preserve">The Shuttle is recognized for its outstanding efforts in planning and implementation </w:t>
                      </w:r>
                    </w:p>
                  </w:txbxContent>
                </v:textbox>
              </v:shape>
            </w:pict>
          </mc:Fallback>
        </mc:AlternateContent>
      </w:r>
      <w:r w:rsidR="0079785F">
        <w:rPr>
          <w:noProof/>
        </w:rPr>
        <w:drawing>
          <wp:anchor distT="0" distB="0" distL="114300" distR="114300" simplePos="0" relativeHeight="251653632" behindDoc="0" locked="0" layoutInCell="1" allowOverlap="1" wp14:anchorId="6130F5A8" wp14:editId="6130F5A9">
            <wp:simplePos x="0" y="0"/>
            <wp:positionH relativeFrom="column">
              <wp:posOffset>-77470</wp:posOffset>
            </wp:positionH>
            <wp:positionV relativeFrom="paragraph">
              <wp:posOffset>240665</wp:posOffset>
            </wp:positionV>
            <wp:extent cx="2881630" cy="2786380"/>
            <wp:effectExtent l="190500" t="190500" r="185420" b="185420"/>
            <wp:wrapSquare wrapText="bothSides"/>
            <wp:docPr id="8" name="Picture 8" descr="C:\Users\jdillard\Desktop\NADO Excell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jdillard\Desktop\NADO Excellence.jp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1630" cy="278638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166E1">
        <w:br w:type="page"/>
      </w:r>
    </w:p>
    <w:p w14:paraId="6130F247" w14:textId="77777777" w:rsidR="000B7482" w:rsidRDefault="000B7482" w:rsidP="007D1E3A">
      <w:pPr>
        <w:pStyle w:val="Heading2"/>
      </w:pPr>
      <w:bookmarkStart w:id="4" w:name="_Toc477860550"/>
      <w:r>
        <w:lastRenderedPageBreak/>
        <w:t>National</w:t>
      </w:r>
      <w:r w:rsidR="00F371B1">
        <w:t xml:space="preserve"> Transit Database Comparison</w:t>
      </w:r>
      <w:bookmarkEnd w:id="4"/>
    </w:p>
    <w:p w14:paraId="6130F248" w14:textId="77777777" w:rsidR="004152FC" w:rsidRPr="004152FC" w:rsidRDefault="004152FC" w:rsidP="004152FC"/>
    <w:p w14:paraId="6130F249" w14:textId="77777777" w:rsidR="002166E1" w:rsidRDefault="00234134" w:rsidP="00F90499">
      <w:pPr>
        <w:spacing w:after="200"/>
        <w:jc w:val="both"/>
      </w:pPr>
      <w:r w:rsidRPr="00810E9C">
        <w:rPr>
          <w:rFonts w:asciiTheme="minorHAnsi" w:hAnsiTheme="minorHAnsi"/>
        </w:rPr>
        <w:t xml:space="preserve">If the shuttle program </w:t>
      </w:r>
      <w:r w:rsidR="004F5D01" w:rsidRPr="00810E9C">
        <w:rPr>
          <w:rFonts w:asciiTheme="minorHAnsi" w:hAnsiTheme="minorHAnsi"/>
        </w:rPr>
        <w:t>had been</w:t>
      </w:r>
      <w:r w:rsidRPr="00810E9C">
        <w:rPr>
          <w:rFonts w:asciiTheme="minorHAnsi" w:hAnsiTheme="minorHAnsi"/>
        </w:rPr>
        <w:t xml:space="preserve"> reported to the National Transit Database</w:t>
      </w:r>
      <w:r w:rsidR="003C2A1A">
        <w:rPr>
          <w:rFonts w:asciiTheme="minorHAnsi" w:hAnsiTheme="minorHAnsi"/>
        </w:rPr>
        <w:t xml:space="preserve"> (NTD)</w:t>
      </w:r>
      <w:r w:rsidRPr="00810E9C">
        <w:rPr>
          <w:rFonts w:asciiTheme="minorHAnsi" w:hAnsiTheme="minorHAnsi"/>
        </w:rPr>
        <w:t xml:space="preserve"> as</w:t>
      </w:r>
      <w:r w:rsidR="002166E1" w:rsidRPr="00810E9C">
        <w:rPr>
          <w:rFonts w:asciiTheme="minorHAnsi" w:hAnsiTheme="minorHAnsi"/>
        </w:rPr>
        <w:t xml:space="preserve"> other</w:t>
      </w:r>
      <w:r w:rsidRPr="00810E9C">
        <w:rPr>
          <w:rFonts w:asciiTheme="minorHAnsi" w:hAnsiTheme="minorHAnsi"/>
        </w:rPr>
        <w:t xml:space="preserve"> cities with existing urban transit programs do, the operational costs would be comparable. The largest differentiator of the cities listed below is the number of Unlinked Passenger Trips; </w:t>
      </w:r>
      <w:r w:rsidR="000327FC">
        <w:rPr>
          <w:rFonts w:asciiTheme="minorHAnsi" w:hAnsiTheme="minorHAnsi"/>
        </w:rPr>
        <w:t>the Shuttle</w:t>
      </w:r>
      <w:r w:rsidR="004F5D01" w:rsidRPr="00810E9C">
        <w:rPr>
          <w:rFonts w:asciiTheme="minorHAnsi" w:hAnsiTheme="minorHAnsi"/>
        </w:rPr>
        <w:t xml:space="preserve"> reported 14,726, Hinesville reported 16,255, Albany reported 1,036,749</w:t>
      </w:r>
      <w:r w:rsidR="006B3E25">
        <w:rPr>
          <w:rFonts w:asciiTheme="minorHAnsi" w:hAnsiTheme="minorHAnsi"/>
        </w:rPr>
        <w:t>, and Lowndes County Public Transit reported 37,463</w:t>
      </w:r>
      <w:r w:rsidR="004F5D01" w:rsidRPr="00810E9C">
        <w:rPr>
          <w:rFonts w:asciiTheme="minorHAnsi" w:hAnsiTheme="minorHAnsi"/>
        </w:rPr>
        <w:t>.</w:t>
      </w:r>
      <w:r w:rsidR="000B7482">
        <w:rPr>
          <w:rFonts w:asciiTheme="minorHAnsi" w:hAnsiTheme="minorHAnsi"/>
        </w:rPr>
        <w:t xml:space="preserve"> The Lowndes County figures are for the demand-response riders and clients of DHS under the Coordinated Transportation program. They are shown as a point of reference for the current public transit options in Valdosta-Lowndes County.</w:t>
      </w:r>
    </w:p>
    <w:tbl>
      <w:tblPr>
        <w:tblW w:w="8701" w:type="dxa"/>
        <w:tblLook w:val="04A0" w:firstRow="1" w:lastRow="0" w:firstColumn="1" w:lastColumn="0" w:noHBand="0" w:noVBand="1"/>
      </w:tblPr>
      <w:tblGrid>
        <w:gridCol w:w="3387"/>
        <w:gridCol w:w="1336"/>
        <w:gridCol w:w="1336"/>
        <w:gridCol w:w="1321"/>
        <w:gridCol w:w="1321"/>
      </w:tblGrid>
      <w:tr w:rsidR="003C2A1A" w:rsidRPr="002166E1" w14:paraId="6130F24F" w14:textId="77777777" w:rsidTr="00885D10">
        <w:trPr>
          <w:trHeight w:val="300"/>
        </w:trPr>
        <w:tc>
          <w:tcPr>
            <w:tcW w:w="3387" w:type="dxa"/>
            <w:vMerge w:val="restart"/>
            <w:noWrap/>
            <w:hideMark/>
          </w:tcPr>
          <w:p w14:paraId="6130F24A" w14:textId="77777777" w:rsidR="003C2A1A" w:rsidRPr="002166E1" w:rsidRDefault="00F371B1" w:rsidP="00B22D79">
            <w:pPr>
              <w:jc w:val="center"/>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t xml:space="preserve">Operating </w:t>
            </w:r>
            <w:r w:rsidR="0079785F">
              <w:rPr>
                <w:rFonts w:ascii="Calibri" w:eastAsia="Times New Roman" w:hAnsi="Calibri" w:cs="Times New Roman"/>
                <w:b/>
                <w:bCs/>
                <w:color w:val="000000"/>
                <w:sz w:val="36"/>
                <w:szCs w:val="36"/>
              </w:rPr>
              <w:t xml:space="preserve">Cost </w:t>
            </w:r>
            <w:r>
              <w:rPr>
                <w:rFonts w:ascii="Calibri" w:eastAsia="Times New Roman" w:hAnsi="Calibri" w:cs="Times New Roman"/>
                <w:b/>
                <w:bCs/>
                <w:color w:val="000000"/>
                <w:sz w:val="36"/>
                <w:szCs w:val="36"/>
              </w:rPr>
              <w:t>Comparison</w:t>
            </w:r>
          </w:p>
        </w:tc>
        <w:tc>
          <w:tcPr>
            <w:tcW w:w="1336" w:type="dxa"/>
            <w:noWrap/>
            <w:hideMark/>
          </w:tcPr>
          <w:p w14:paraId="6130F24B" w14:textId="77777777" w:rsidR="003C2A1A" w:rsidRPr="002166E1" w:rsidRDefault="003C2A1A"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1 Bus</w:t>
            </w:r>
          </w:p>
        </w:tc>
        <w:tc>
          <w:tcPr>
            <w:tcW w:w="1336" w:type="dxa"/>
            <w:noWrap/>
            <w:hideMark/>
          </w:tcPr>
          <w:p w14:paraId="6130F24C" w14:textId="77777777" w:rsidR="003C2A1A" w:rsidRPr="002166E1" w:rsidRDefault="003C2A1A"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3 Buses</w:t>
            </w:r>
          </w:p>
        </w:tc>
        <w:tc>
          <w:tcPr>
            <w:tcW w:w="1321" w:type="dxa"/>
            <w:noWrap/>
            <w:hideMark/>
          </w:tcPr>
          <w:p w14:paraId="6130F24D" w14:textId="77777777" w:rsidR="003C2A1A" w:rsidRPr="002166E1" w:rsidRDefault="003C2A1A" w:rsidP="00B22D79">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8</w:t>
            </w:r>
            <w:r w:rsidRPr="002166E1">
              <w:rPr>
                <w:rFonts w:ascii="Calibri" w:eastAsia="Times New Roman" w:hAnsi="Calibri" w:cs="Times New Roman"/>
                <w:color w:val="000000"/>
                <w:sz w:val="22"/>
                <w:szCs w:val="22"/>
              </w:rPr>
              <w:t xml:space="preserve"> Buses</w:t>
            </w:r>
          </w:p>
        </w:tc>
        <w:tc>
          <w:tcPr>
            <w:tcW w:w="1321" w:type="dxa"/>
          </w:tcPr>
          <w:p w14:paraId="6130F24E" w14:textId="77777777" w:rsidR="003C2A1A" w:rsidRDefault="003C2A1A" w:rsidP="00B22D79">
            <w:pPr>
              <w:jc w:val="center"/>
              <w:rPr>
                <w:rFonts w:ascii="Calibri" w:eastAsia="Times New Roman" w:hAnsi="Calibri" w:cs="Times New Roman"/>
                <w:color w:val="000000"/>
                <w:sz w:val="22"/>
                <w:szCs w:val="22"/>
              </w:rPr>
            </w:pPr>
            <w:r>
              <w:rPr>
                <w:rFonts w:ascii="Calibri" w:hAnsi="Calibri"/>
                <w:color w:val="000000"/>
                <w:sz w:val="22"/>
                <w:szCs w:val="22"/>
              </w:rPr>
              <w:t>8 Buses</w:t>
            </w:r>
          </w:p>
        </w:tc>
      </w:tr>
      <w:tr w:rsidR="003C2A1A" w:rsidRPr="002166E1" w14:paraId="6130F255" w14:textId="77777777" w:rsidTr="00885D10">
        <w:trPr>
          <w:trHeight w:val="300"/>
        </w:trPr>
        <w:tc>
          <w:tcPr>
            <w:tcW w:w="3387" w:type="dxa"/>
            <w:vMerge/>
            <w:hideMark/>
          </w:tcPr>
          <w:p w14:paraId="6130F250" w14:textId="77777777" w:rsidR="003C2A1A" w:rsidRPr="002166E1" w:rsidRDefault="003C2A1A" w:rsidP="002166E1">
            <w:pPr>
              <w:rPr>
                <w:rFonts w:ascii="Calibri" w:eastAsia="Times New Roman" w:hAnsi="Calibri" w:cs="Times New Roman"/>
                <w:b/>
                <w:bCs/>
                <w:color w:val="000000"/>
                <w:sz w:val="36"/>
                <w:szCs w:val="36"/>
              </w:rPr>
            </w:pPr>
          </w:p>
        </w:tc>
        <w:tc>
          <w:tcPr>
            <w:tcW w:w="1336" w:type="dxa"/>
            <w:noWrap/>
            <w:hideMark/>
          </w:tcPr>
          <w:p w14:paraId="6130F251" w14:textId="77777777" w:rsidR="003C2A1A" w:rsidRPr="002166E1" w:rsidRDefault="000327FC" w:rsidP="00B22D79">
            <w:pPr>
              <w:jc w:val="center"/>
              <w:rPr>
                <w:rFonts w:ascii="Calibri" w:eastAsia="Times New Roman" w:hAnsi="Calibri" w:cs="Times New Roman"/>
                <w:b/>
                <w:bCs/>
                <w:color w:val="000000"/>
                <w:sz w:val="22"/>
                <w:szCs w:val="22"/>
                <w:u w:val="single"/>
              </w:rPr>
            </w:pPr>
            <w:r>
              <w:rPr>
                <w:rFonts w:ascii="Calibri" w:eastAsia="Times New Roman" w:hAnsi="Calibri" w:cs="Times New Roman"/>
                <w:b/>
                <w:bCs/>
                <w:color w:val="000000"/>
                <w:sz w:val="22"/>
                <w:szCs w:val="22"/>
                <w:u w:val="single"/>
              </w:rPr>
              <w:t>Shuttle</w:t>
            </w:r>
          </w:p>
        </w:tc>
        <w:tc>
          <w:tcPr>
            <w:tcW w:w="1336" w:type="dxa"/>
            <w:noWrap/>
            <w:hideMark/>
          </w:tcPr>
          <w:p w14:paraId="6130F252" w14:textId="77777777" w:rsidR="003C2A1A" w:rsidRPr="002166E1" w:rsidRDefault="003C2A1A" w:rsidP="00B22D79">
            <w:pPr>
              <w:jc w:val="center"/>
              <w:rPr>
                <w:rFonts w:ascii="Calibri" w:eastAsia="Times New Roman" w:hAnsi="Calibri" w:cs="Times New Roman"/>
                <w:b/>
                <w:bCs/>
                <w:color w:val="000000"/>
                <w:sz w:val="22"/>
                <w:szCs w:val="22"/>
                <w:u w:val="single"/>
              </w:rPr>
            </w:pPr>
            <w:r w:rsidRPr="002166E1">
              <w:rPr>
                <w:rFonts w:ascii="Calibri" w:eastAsia="Times New Roman" w:hAnsi="Calibri" w:cs="Times New Roman"/>
                <w:b/>
                <w:bCs/>
                <w:color w:val="000000"/>
                <w:sz w:val="22"/>
                <w:szCs w:val="22"/>
                <w:u w:val="single"/>
              </w:rPr>
              <w:t>Hinesville</w:t>
            </w:r>
          </w:p>
        </w:tc>
        <w:tc>
          <w:tcPr>
            <w:tcW w:w="1321" w:type="dxa"/>
            <w:noWrap/>
            <w:hideMark/>
          </w:tcPr>
          <w:p w14:paraId="6130F253" w14:textId="77777777" w:rsidR="003C2A1A" w:rsidRPr="002166E1" w:rsidRDefault="003C2A1A" w:rsidP="00B22D79">
            <w:pPr>
              <w:jc w:val="center"/>
              <w:rPr>
                <w:rFonts w:ascii="Calibri" w:eastAsia="Times New Roman" w:hAnsi="Calibri" w:cs="Times New Roman"/>
                <w:b/>
                <w:bCs/>
                <w:color w:val="000000"/>
                <w:sz w:val="22"/>
                <w:szCs w:val="22"/>
                <w:u w:val="single"/>
              </w:rPr>
            </w:pPr>
            <w:r w:rsidRPr="002166E1">
              <w:rPr>
                <w:rFonts w:ascii="Calibri" w:eastAsia="Times New Roman" w:hAnsi="Calibri" w:cs="Times New Roman"/>
                <w:b/>
                <w:bCs/>
                <w:color w:val="000000"/>
                <w:sz w:val="22"/>
                <w:szCs w:val="22"/>
                <w:u w:val="single"/>
              </w:rPr>
              <w:t>Albany</w:t>
            </w:r>
          </w:p>
        </w:tc>
        <w:tc>
          <w:tcPr>
            <w:tcW w:w="1321" w:type="dxa"/>
          </w:tcPr>
          <w:p w14:paraId="6130F254" w14:textId="77777777" w:rsidR="003C2A1A" w:rsidRPr="002166E1" w:rsidRDefault="003C2A1A" w:rsidP="00B22D79">
            <w:pPr>
              <w:jc w:val="center"/>
              <w:rPr>
                <w:rFonts w:ascii="Calibri" w:eastAsia="Times New Roman" w:hAnsi="Calibri" w:cs="Times New Roman"/>
                <w:b/>
                <w:bCs/>
                <w:color w:val="000000"/>
                <w:sz w:val="22"/>
                <w:szCs w:val="22"/>
                <w:u w:val="single"/>
              </w:rPr>
            </w:pPr>
            <w:r>
              <w:rPr>
                <w:rFonts w:ascii="Calibri" w:hAnsi="Calibri"/>
                <w:b/>
                <w:bCs/>
                <w:color w:val="000000"/>
                <w:sz w:val="22"/>
                <w:szCs w:val="22"/>
                <w:u w:val="single"/>
              </w:rPr>
              <w:t>Lowndes</w:t>
            </w:r>
          </w:p>
        </w:tc>
      </w:tr>
      <w:tr w:rsidR="003C2A1A" w:rsidRPr="002166E1" w14:paraId="6130F25B" w14:textId="77777777" w:rsidTr="00885D10">
        <w:trPr>
          <w:trHeight w:val="300"/>
        </w:trPr>
        <w:tc>
          <w:tcPr>
            <w:tcW w:w="3387" w:type="dxa"/>
            <w:noWrap/>
            <w:hideMark/>
          </w:tcPr>
          <w:p w14:paraId="6130F256"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Op. Exp. per Vehicle Rev. Miles</w:t>
            </w:r>
          </w:p>
        </w:tc>
        <w:tc>
          <w:tcPr>
            <w:tcW w:w="1336" w:type="dxa"/>
            <w:noWrap/>
            <w:hideMark/>
          </w:tcPr>
          <w:p w14:paraId="6130F257"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           3.97 </w:t>
            </w:r>
          </w:p>
        </w:tc>
        <w:tc>
          <w:tcPr>
            <w:tcW w:w="1336" w:type="dxa"/>
            <w:noWrap/>
            <w:hideMark/>
          </w:tcPr>
          <w:p w14:paraId="6130F258"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           5.94 </w:t>
            </w:r>
          </w:p>
        </w:tc>
        <w:tc>
          <w:tcPr>
            <w:tcW w:w="1321" w:type="dxa"/>
            <w:noWrap/>
            <w:hideMark/>
          </w:tcPr>
          <w:p w14:paraId="6130F259" w14:textId="77777777" w:rsidR="003C2A1A" w:rsidRPr="00F20795" w:rsidRDefault="003C2A1A" w:rsidP="00234134">
            <w:pPr>
              <w:rPr>
                <w:rFonts w:asciiTheme="minorHAnsi" w:eastAsia="Times New Roman" w:hAnsiTheme="minorHAnsi" w:cs="Times New Roman"/>
                <w:color w:val="000000"/>
                <w:sz w:val="22"/>
                <w:szCs w:val="22"/>
              </w:rPr>
            </w:pPr>
            <w:r w:rsidRPr="00F20795">
              <w:rPr>
                <w:rFonts w:asciiTheme="minorHAnsi" w:hAnsiTheme="minorHAnsi"/>
                <w:color w:val="000000"/>
                <w:sz w:val="22"/>
                <w:szCs w:val="22"/>
              </w:rPr>
              <w:t xml:space="preserve"> $           4.03 </w:t>
            </w:r>
          </w:p>
        </w:tc>
        <w:tc>
          <w:tcPr>
            <w:tcW w:w="1321" w:type="dxa"/>
          </w:tcPr>
          <w:p w14:paraId="6130F25A" w14:textId="77777777" w:rsidR="003C2A1A" w:rsidRPr="00F20795" w:rsidRDefault="003C2A1A" w:rsidP="00234134">
            <w:pPr>
              <w:rPr>
                <w:rFonts w:asciiTheme="minorHAnsi" w:hAnsiTheme="minorHAnsi"/>
                <w:color w:val="000000"/>
                <w:sz w:val="22"/>
                <w:szCs w:val="22"/>
              </w:rPr>
            </w:pPr>
            <w:r w:rsidRPr="00F20795">
              <w:rPr>
                <w:rFonts w:asciiTheme="minorHAnsi" w:hAnsiTheme="minorHAnsi"/>
                <w:color w:val="000000"/>
                <w:sz w:val="22"/>
                <w:szCs w:val="22"/>
              </w:rPr>
              <w:t xml:space="preserve"> $         </w:t>
            </w:r>
            <w:r w:rsidR="002B34BE">
              <w:rPr>
                <w:rFonts w:asciiTheme="minorHAnsi" w:hAnsiTheme="minorHAnsi"/>
                <w:color w:val="000000"/>
                <w:sz w:val="22"/>
                <w:szCs w:val="22"/>
              </w:rPr>
              <w:t xml:space="preserve">  </w:t>
            </w:r>
            <w:r w:rsidRPr="00F20795">
              <w:rPr>
                <w:rFonts w:asciiTheme="minorHAnsi" w:hAnsiTheme="minorHAnsi"/>
                <w:color w:val="000000"/>
                <w:sz w:val="22"/>
                <w:szCs w:val="22"/>
              </w:rPr>
              <w:t xml:space="preserve">1.39 </w:t>
            </w:r>
          </w:p>
        </w:tc>
      </w:tr>
      <w:tr w:rsidR="003C2A1A" w:rsidRPr="002166E1" w14:paraId="6130F261" w14:textId="77777777" w:rsidTr="00885D10">
        <w:trPr>
          <w:trHeight w:val="300"/>
        </w:trPr>
        <w:tc>
          <w:tcPr>
            <w:tcW w:w="3387" w:type="dxa"/>
            <w:noWrap/>
            <w:hideMark/>
          </w:tcPr>
          <w:p w14:paraId="6130F25C"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Op. Exp. Per Vehicle Rev. Hours</w:t>
            </w:r>
          </w:p>
        </w:tc>
        <w:tc>
          <w:tcPr>
            <w:tcW w:w="1336" w:type="dxa"/>
            <w:noWrap/>
            <w:hideMark/>
          </w:tcPr>
          <w:p w14:paraId="6130F25D" w14:textId="77777777" w:rsidR="003C2A1A" w:rsidRPr="00F20795" w:rsidRDefault="00F60E43" w:rsidP="002166E1">
            <w:pPr>
              <w:rPr>
                <w:rFonts w:asciiTheme="minorHAnsi" w:eastAsia="Times New Roman" w:hAnsiTheme="minorHAnsi" w:cs="Times New Roman"/>
                <w:color w:val="000000"/>
                <w:sz w:val="22"/>
                <w:szCs w:val="22"/>
              </w:rPr>
            </w:pPr>
            <w:r>
              <w:rPr>
                <w:rFonts w:asciiTheme="minorHAnsi" w:eastAsia="Times New Roman" w:hAnsiTheme="minorHAnsi" w:cs="Times New Roman"/>
                <w:color w:val="000000"/>
                <w:sz w:val="22"/>
                <w:szCs w:val="22"/>
              </w:rPr>
              <w:t xml:space="preserve"> $         69.43</w:t>
            </w:r>
            <w:r w:rsidR="003C2A1A" w:rsidRPr="00F20795">
              <w:rPr>
                <w:rFonts w:asciiTheme="minorHAnsi" w:eastAsia="Times New Roman" w:hAnsiTheme="minorHAnsi" w:cs="Times New Roman"/>
                <w:color w:val="000000"/>
                <w:sz w:val="22"/>
                <w:szCs w:val="22"/>
              </w:rPr>
              <w:t xml:space="preserve"> </w:t>
            </w:r>
          </w:p>
        </w:tc>
        <w:tc>
          <w:tcPr>
            <w:tcW w:w="1336" w:type="dxa"/>
            <w:noWrap/>
            <w:hideMark/>
          </w:tcPr>
          <w:p w14:paraId="6130F25E"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         75.51 </w:t>
            </w:r>
          </w:p>
        </w:tc>
        <w:tc>
          <w:tcPr>
            <w:tcW w:w="1321" w:type="dxa"/>
            <w:noWrap/>
            <w:hideMark/>
          </w:tcPr>
          <w:p w14:paraId="6130F25F" w14:textId="77777777" w:rsidR="003C2A1A" w:rsidRPr="00F20795" w:rsidRDefault="003C2A1A" w:rsidP="00234134">
            <w:pPr>
              <w:rPr>
                <w:rFonts w:asciiTheme="minorHAnsi" w:eastAsia="Times New Roman" w:hAnsiTheme="minorHAnsi" w:cs="Times New Roman"/>
                <w:color w:val="000000"/>
                <w:sz w:val="22"/>
                <w:szCs w:val="22"/>
              </w:rPr>
            </w:pPr>
            <w:r w:rsidRPr="00F20795">
              <w:rPr>
                <w:rFonts w:asciiTheme="minorHAnsi" w:hAnsiTheme="minorHAnsi"/>
                <w:color w:val="000000"/>
                <w:sz w:val="22"/>
                <w:szCs w:val="22"/>
              </w:rPr>
              <w:t xml:space="preserve"> $        65.62 </w:t>
            </w:r>
          </w:p>
        </w:tc>
        <w:tc>
          <w:tcPr>
            <w:tcW w:w="1321" w:type="dxa"/>
          </w:tcPr>
          <w:p w14:paraId="6130F260" w14:textId="77777777" w:rsidR="003C2A1A" w:rsidRPr="00F20795" w:rsidRDefault="003C2A1A" w:rsidP="00234134">
            <w:pPr>
              <w:rPr>
                <w:rFonts w:asciiTheme="minorHAnsi" w:hAnsiTheme="minorHAnsi"/>
                <w:color w:val="000000"/>
                <w:sz w:val="22"/>
                <w:szCs w:val="22"/>
              </w:rPr>
            </w:pPr>
            <w:r w:rsidRPr="00F20795">
              <w:rPr>
                <w:rFonts w:asciiTheme="minorHAnsi" w:hAnsiTheme="minorHAnsi"/>
                <w:color w:val="000000"/>
                <w:sz w:val="22"/>
                <w:szCs w:val="22"/>
              </w:rPr>
              <w:t xml:space="preserve"> $        19.84 </w:t>
            </w:r>
          </w:p>
        </w:tc>
      </w:tr>
      <w:tr w:rsidR="003C2A1A" w:rsidRPr="002166E1" w14:paraId="6130F267" w14:textId="77777777" w:rsidTr="00885D10">
        <w:trPr>
          <w:trHeight w:val="300"/>
        </w:trPr>
        <w:tc>
          <w:tcPr>
            <w:tcW w:w="3387" w:type="dxa"/>
            <w:noWrap/>
            <w:hideMark/>
          </w:tcPr>
          <w:p w14:paraId="6130F262"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Op. Exp. Per Unlinked Pass. Trip</w:t>
            </w:r>
          </w:p>
        </w:tc>
        <w:tc>
          <w:tcPr>
            <w:tcW w:w="1336" w:type="dxa"/>
            <w:noWrap/>
            <w:hideMark/>
          </w:tcPr>
          <w:p w14:paraId="6130F263"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         18.26 </w:t>
            </w:r>
          </w:p>
        </w:tc>
        <w:tc>
          <w:tcPr>
            <w:tcW w:w="1336" w:type="dxa"/>
            <w:noWrap/>
            <w:hideMark/>
          </w:tcPr>
          <w:p w14:paraId="6130F264"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         38.34 </w:t>
            </w:r>
          </w:p>
        </w:tc>
        <w:tc>
          <w:tcPr>
            <w:tcW w:w="1321" w:type="dxa"/>
            <w:noWrap/>
            <w:hideMark/>
          </w:tcPr>
          <w:p w14:paraId="6130F265" w14:textId="77777777" w:rsidR="003C2A1A" w:rsidRPr="00F20795" w:rsidRDefault="003C2A1A" w:rsidP="00234134">
            <w:pPr>
              <w:rPr>
                <w:rFonts w:asciiTheme="minorHAnsi" w:eastAsia="Times New Roman" w:hAnsiTheme="minorHAnsi" w:cs="Times New Roman"/>
                <w:color w:val="000000"/>
                <w:sz w:val="22"/>
                <w:szCs w:val="22"/>
              </w:rPr>
            </w:pPr>
            <w:r w:rsidRPr="00F20795">
              <w:rPr>
                <w:rFonts w:asciiTheme="minorHAnsi" w:hAnsiTheme="minorHAnsi"/>
                <w:color w:val="000000"/>
                <w:sz w:val="22"/>
                <w:szCs w:val="22"/>
              </w:rPr>
              <w:t xml:space="preserve"> $           2.23 </w:t>
            </w:r>
          </w:p>
        </w:tc>
        <w:tc>
          <w:tcPr>
            <w:tcW w:w="1321" w:type="dxa"/>
          </w:tcPr>
          <w:p w14:paraId="6130F266" w14:textId="77777777" w:rsidR="003C2A1A" w:rsidRPr="00F20795" w:rsidRDefault="003C2A1A" w:rsidP="002B34BE">
            <w:pPr>
              <w:rPr>
                <w:rFonts w:asciiTheme="minorHAnsi" w:hAnsiTheme="minorHAnsi"/>
                <w:color w:val="000000"/>
                <w:sz w:val="22"/>
                <w:szCs w:val="22"/>
              </w:rPr>
            </w:pPr>
            <w:r w:rsidRPr="00F20795">
              <w:rPr>
                <w:rFonts w:asciiTheme="minorHAnsi" w:hAnsiTheme="minorHAnsi"/>
                <w:color w:val="000000"/>
                <w:sz w:val="22"/>
                <w:szCs w:val="22"/>
              </w:rPr>
              <w:t xml:space="preserve"> $        11.80</w:t>
            </w:r>
          </w:p>
        </w:tc>
      </w:tr>
      <w:tr w:rsidR="003C2A1A" w:rsidRPr="002166E1" w14:paraId="6130F26D" w14:textId="77777777" w:rsidTr="00885D10">
        <w:trPr>
          <w:trHeight w:val="300"/>
        </w:trPr>
        <w:tc>
          <w:tcPr>
            <w:tcW w:w="3387" w:type="dxa"/>
            <w:noWrap/>
            <w:hideMark/>
          </w:tcPr>
          <w:p w14:paraId="6130F268"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Unlinked Pass. Trip per Rev. Miles</w:t>
            </w:r>
          </w:p>
        </w:tc>
        <w:tc>
          <w:tcPr>
            <w:tcW w:w="1336" w:type="dxa"/>
            <w:noWrap/>
            <w:hideMark/>
          </w:tcPr>
          <w:p w14:paraId="6130F269"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0.22 </w:t>
            </w:r>
          </w:p>
        </w:tc>
        <w:tc>
          <w:tcPr>
            <w:tcW w:w="1336" w:type="dxa"/>
            <w:noWrap/>
            <w:hideMark/>
          </w:tcPr>
          <w:p w14:paraId="6130F26A"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0.20 </w:t>
            </w:r>
          </w:p>
        </w:tc>
        <w:tc>
          <w:tcPr>
            <w:tcW w:w="1321" w:type="dxa"/>
            <w:noWrap/>
            <w:hideMark/>
          </w:tcPr>
          <w:p w14:paraId="6130F26B"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hAnsiTheme="minorHAnsi"/>
                <w:color w:val="000000"/>
                <w:sz w:val="22"/>
                <w:szCs w:val="22"/>
              </w:rPr>
              <w:t xml:space="preserve">              1.81</w:t>
            </w:r>
          </w:p>
        </w:tc>
        <w:tc>
          <w:tcPr>
            <w:tcW w:w="1321" w:type="dxa"/>
          </w:tcPr>
          <w:p w14:paraId="6130F26C" w14:textId="77777777" w:rsidR="003C2A1A" w:rsidRPr="00F20795" w:rsidRDefault="002B34BE" w:rsidP="002B34BE">
            <w:pPr>
              <w:rPr>
                <w:rFonts w:asciiTheme="minorHAnsi" w:hAnsiTheme="minorHAnsi"/>
                <w:color w:val="000000"/>
                <w:sz w:val="22"/>
                <w:szCs w:val="22"/>
              </w:rPr>
            </w:pPr>
            <w:r>
              <w:rPr>
                <w:rFonts w:asciiTheme="minorHAnsi" w:hAnsiTheme="minorHAnsi"/>
                <w:color w:val="000000"/>
                <w:sz w:val="22"/>
                <w:szCs w:val="22"/>
              </w:rPr>
              <w:t xml:space="preserve">              </w:t>
            </w:r>
            <w:r w:rsidR="003C2A1A" w:rsidRPr="00F20795">
              <w:rPr>
                <w:rFonts w:asciiTheme="minorHAnsi" w:hAnsiTheme="minorHAnsi"/>
                <w:color w:val="000000"/>
                <w:sz w:val="22"/>
                <w:szCs w:val="22"/>
              </w:rPr>
              <w:t>0.12</w:t>
            </w:r>
          </w:p>
        </w:tc>
      </w:tr>
      <w:tr w:rsidR="003C2A1A" w:rsidRPr="002166E1" w14:paraId="6130F273" w14:textId="77777777" w:rsidTr="00885D10">
        <w:trPr>
          <w:trHeight w:val="300"/>
        </w:trPr>
        <w:tc>
          <w:tcPr>
            <w:tcW w:w="3387" w:type="dxa"/>
            <w:noWrap/>
            <w:hideMark/>
          </w:tcPr>
          <w:p w14:paraId="6130F26E"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Unlinked Pass. Trip per Rev. Hours</w:t>
            </w:r>
          </w:p>
        </w:tc>
        <w:tc>
          <w:tcPr>
            <w:tcW w:w="1336" w:type="dxa"/>
            <w:noWrap/>
            <w:hideMark/>
          </w:tcPr>
          <w:p w14:paraId="6130F26F"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3.80 </w:t>
            </w:r>
          </w:p>
        </w:tc>
        <w:tc>
          <w:tcPr>
            <w:tcW w:w="1336" w:type="dxa"/>
            <w:noWrap/>
            <w:hideMark/>
          </w:tcPr>
          <w:p w14:paraId="6130F270"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xml:space="preserve">              2.00 </w:t>
            </w:r>
          </w:p>
        </w:tc>
        <w:tc>
          <w:tcPr>
            <w:tcW w:w="1321" w:type="dxa"/>
            <w:noWrap/>
            <w:hideMark/>
          </w:tcPr>
          <w:p w14:paraId="6130F271" w14:textId="77777777" w:rsidR="003C2A1A" w:rsidRPr="00F20795" w:rsidRDefault="003C2A1A" w:rsidP="002166E1">
            <w:pPr>
              <w:rPr>
                <w:rFonts w:asciiTheme="minorHAnsi" w:eastAsia="Times New Roman" w:hAnsiTheme="minorHAnsi" w:cs="Times New Roman"/>
                <w:color w:val="000000"/>
                <w:sz w:val="22"/>
                <w:szCs w:val="22"/>
              </w:rPr>
            </w:pPr>
            <w:r w:rsidRPr="00F20795">
              <w:rPr>
                <w:rFonts w:asciiTheme="minorHAnsi" w:hAnsiTheme="minorHAnsi"/>
                <w:color w:val="000000"/>
                <w:sz w:val="22"/>
                <w:szCs w:val="22"/>
              </w:rPr>
              <w:t xml:space="preserve">            29.50</w:t>
            </w:r>
          </w:p>
        </w:tc>
        <w:tc>
          <w:tcPr>
            <w:tcW w:w="1321" w:type="dxa"/>
          </w:tcPr>
          <w:p w14:paraId="6130F272" w14:textId="77777777" w:rsidR="003C2A1A" w:rsidRPr="00F20795" w:rsidRDefault="003C2A1A" w:rsidP="003D3632">
            <w:pPr>
              <w:keepNext/>
              <w:rPr>
                <w:rFonts w:asciiTheme="minorHAnsi" w:hAnsiTheme="minorHAnsi"/>
                <w:color w:val="000000"/>
                <w:sz w:val="22"/>
                <w:szCs w:val="22"/>
              </w:rPr>
            </w:pPr>
            <w:r w:rsidRPr="00F20795">
              <w:rPr>
                <w:rFonts w:asciiTheme="minorHAnsi" w:hAnsiTheme="minorHAnsi"/>
                <w:color w:val="000000"/>
                <w:sz w:val="22"/>
                <w:szCs w:val="22"/>
              </w:rPr>
              <w:t xml:space="preserve">              1.68</w:t>
            </w:r>
          </w:p>
        </w:tc>
      </w:tr>
    </w:tbl>
    <w:p w14:paraId="6130F274" w14:textId="77777777" w:rsidR="003C2A1A" w:rsidRPr="003C2A1A" w:rsidRDefault="003D3632" w:rsidP="003D3632">
      <w:pPr>
        <w:pStyle w:val="Caption"/>
        <w:rPr>
          <w:rFonts w:asciiTheme="minorHAnsi" w:hAnsiTheme="minorHAnsi"/>
        </w:rPr>
      </w:pPr>
      <w:r>
        <w:t>Pilot Shuttle Expenses if reported to NTD</w:t>
      </w:r>
    </w:p>
    <w:tbl>
      <w:tblPr>
        <w:tblW w:w="8701" w:type="dxa"/>
        <w:tblLook w:val="04A0" w:firstRow="1" w:lastRow="0" w:firstColumn="1" w:lastColumn="0" w:noHBand="0" w:noVBand="1"/>
      </w:tblPr>
      <w:tblGrid>
        <w:gridCol w:w="3387"/>
        <w:gridCol w:w="1336"/>
        <w:gridCol w:w="1336"/>
        <w:gridCol w:w="1321"/>
        <w:gridCol w:w="1321"/>
      </w:tblGrid>
      <w:tr w:rsidR="00195F19" w:rsidRPr="002166E1" w14:paraId="6130F27A" w14:textId="77777777" w:rsidTr="00885D10">
        <w:trPr>
          <w:trHeight w:val="300"/>
        </w:trPr>
        <w:tc>
          <w:tcPr>
            <w:tcW w:w="3387" w:type="dxa"/>
            <w:vMerge w:val="restart"/>
            <w:noWrap/>
            <w:vAlign w:val="center"/>
            <w:hideMark/>
          </w:tcPr>
          <w:p w14:paraId="6130F275" w14:textId="77777777" w:rsidR="00195F19" w:rsidRPr="002166E1" w:rsidRDefault="00F371B1" w:rsidP="00B22D79">
            <w:pPr>
              <w:jc w:val="center"/>
              <w:rPr>
                <w:rFonts w:ascii="Calibri" w:eastAsia="Times New Roman" w:hAnsi="Calibri" w:cs="Times New Roman"/>
                <w:b/>
                <w:bCs/>
                <w:color w:val="000000"/>
                <w:sz w:val="36"/>
                <w:szCs w:val="36"/>
              </w:rPr>
            </w:pPr>
            <w:r>
              <w:rPr>
                <w:rFonts w:ascii="Calibri" w:eastAsia="Times New Roman" w:hAnsi="Calibri" w:cs="Times New Roman"/>
                <w:b/>
                <w:bCs/>
                <w:color w:val="000000"/>
                <w:sz w:val="36"/>
                <w:szCs w:val="36"/>
              </w:rPr>
              <w:t xml:space="preserve">Operating </w:t>
            </w:r>
            <w:r w:rsidR="0079785F">
              <w:rPr>
                <w:rFonts w:ascii="Calibri" w:eastAsia="Times New Roman" w:hAnsi="Calibri" w:cs="Times New Roman"/>
                <w:b/>
                <w:bCs/>
                <w:color w:val="000000"/>
                <w:sz w:val="36"/>
                <w:szCs w:val="36"/>
              </w:rPr>
              <w:t xml:space="preserve">Cost </w:t>
            </w:r>
            <w:r>
              <w:rPr>
                <w:rFonts w:ascii="Calibri" w:eastAsia="Times New Roman" w:hAnsi="Calibri" w:cs="Times New Roman"/>
                <w:b/>
                <w:bCs/>
                <w:color w:val="000000"/>
                <w:sz w:val="36"/>
                <w:szCs w:val="36"/>
              </w:rPr>
              <w:t xml:space="preserve">Comparison  </w:t>
            </w:r>
            <w:r w:rsidR="00195F19">
              <w:rPr>
                <w:rFonts w:ascii="Calibri" w:eastAsia="Times New Roman" w:hAnsi="Calibri" w:cs="Times New Roman"/>
                <w:b/>
                <w:bCs/>
                <w:color w:val="000000"/>
                <w:sz w:val="36"/>
                <w:szCs w:val="36"/>
              </w:rPr>
              <w:t>w/SGRC Admin</w:t>
            </w:r>
            <w:r>
              <w:rPr>
                <w:rFonts w:ascii="Calibri" w:eastAsia="Times New Roman" w:hAnsi="Calibri" w:cs="Times New Roman"/>
                <w:b/>
                <w:bCs/>
                <w:color w:val="000000"/>
                <w:sz w:val="36"/>
                <w:szCs w:val="36"/>
              </w:rPr>
              <w:t xml:space="preserve"> Costs</w:t>
            </w:r>
          </w:p>
        </w:tc>
        <w:tc>
          <w:tcPr>
            <w:tcW w:w="1336" w:type="dxa"/>
            <w:noWrap/>
            <w:vAlign w:val="center"/>
            <w:hideMark/>
          </w:tcPr>
          <w:p w14:paraId="6130F276" w14:textId="77777777" w:rsidR="00195F19" w:rsidRPr="002166E1" w:rsidRDefault="00195F19"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1 Bus</w:t>
            </w:r>
          </w:p>
        </w:tc>
        <w:tc>
          <w:tcPr>
            <w:tcW w:w="1336" w:type="dxa"/>
            <w:noWrap/>
            <w:vAlign w:val="center"/>
            <w:hideMark/>
          </w:tcPr>
          <w:p w14:paraId="6130F277" w14:textId="77777777" w:rsidR="00195F19" w:rsidRPr="002166E1" w:rsidRDefault="00195F19"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3 Buses</w:t>
            </w:r>
          </w:p>
        </w:tc>
        <w:tc>
          <w:tcPr>
            <w:tcW w:w="1321" w:type="dxa"/>
            <w:noWrap/>
            <w:vAlign w:val="center"/>
            <w:hideMark/>
          </w:tcPr>
          <w:p w14:paraId="6130F278" w14:textId="77777777" w:rsidR="00195F19" w:rsidRPr="002166E1" w:rsidRDefault="00195F19" w:rsidP="00B22D79">
            <w:pPr>
              <w:jc w:val="center"/>
              <w:rPr>
                <w:rFonts w:ascii="Calibri" w:eastAsia="Times New Roman" w:hAnsi="Calibri" w:cs="Times New Roman"/>
                <w:color w:val="000000"/>
                <w:sz w:val="22"/>
                <w:szCs w:val="22"/>
              </w:rPr>
            </w:pPr>
            <w:r>
              <w:rPr>
                <w:rFonts w:ascii="Calibri" w:eastAsia="Times New Roman" w:hAnsi="Calibri" w:cs="Times New Roman"/>
                <w:color w:val="000000"/>
                <w:sz w:val="22"/>
                <w:szCs w:val="22"/>
              </w:rPr>
              <w:t>8</w:t>
            </w:r>
            <w:r w:rsidRPr="002166E1">
              <w:rPr>
                <w:rFonts w:ascii="Calibri" w:eastAsia="Times New Roman" w:hAnsi="Calibri" w:cs="Times New Roman"/>
                <w:color w:val="000000"/>
                <w:sz w:val="22"/>
                <w:szCs w:val="22"/>
              </w:rPr>
              <w:t xml:space="preserve"> Buses</w:t>
            </w:r>
          </w:p>
        </w:tc>
        <w:tc>
          <w:tcPr>
            <w:tcW w:w="1321" w:type="dxa"/>
            <w:vAlign w:val="center"/>
          </w:tcPr>
          <w:p w14:paraId="6130F279" w14:textId="77777777" w:rsidR="00195F19" w:rsidRDefault="00195F19" w:rsidP="00B22D79">
            <w:pPr>
              <w:jc w:val="center"/>
              <w:rPr>
                <w:rFonts w:ascii="Calibri" w:eastAsia="Times New Roman" w:hAnsi="Calibri" w:cs="Times New Roman"/>
                <w:color w:val="000000"/>
                <w:sz w:val="22"/>
                <w:szCs w:val="22"/>
              </w:rPr>
            </w:pPr>
            <w:r>
              <w:rPr>
                <w:rFonts w:ascii="Calibri" w:hAnsi="Calibri"/>
                <w:color w:val="000000"/>
                <w:sz w:val="22"/>
                <w:szCs w:val="22"/>
              </w:rPr>
              <w:t>8 Buses</w:t>
            </w:r>
          </w:p>
        </w:tc>
      </w:tr>
      <w:tr w:rsidR="00195F19" w:rsidRPr="002166E1" w14:paraId="6130F280" w14:textId="77777777" w:rsidTr="00885D10">
        <w:trPr>
          <w:trHeight w:val="300"/>
        </w:trPr>
        <w:tc>
          <w:tcPr>
            <w:tcW w:w="3387" w:type="dxa"/>
            <w:vMerge/>
            <w:hideMark/>
          </w:tcPr>
          <w:p w14:paraId="6130F27B" w14:textId="77777777" w:rsidR="00195F19" w:rsidRPr="002166E1" w:rsidRDefault="00195F19" w:rsidP="00290A95">
            <w:pPr>
              <w:rPr>
                <w:rFonts w:ascii="Calibri" w:eastAsia="Times New Roman" w:hAnsi="Calibri" w:cs="Times New Roman"/>
                <w:b/>
                <w:bCs/>
                <w:color w:val="000000"/>
                <w:sz w:val="36"/>
                <w:szCs w:val="36"/>
              </w:rPr>
            </w:pPr>
          </w:p>
        </w:tc>
        <w:tc>
          <w:tcPr>
            <w:tcW w:w="1336" w:type="dxa"/>
            <w:noWrap/>
            <w:vAlign w:val="center"/>
            <w:hideMark/>
          </w:tcPr>
          <w:p w14:paraId="6130F27C" w14:textId="77777777" w:rsidR="00195F19" w:rsidRPr="002166E1" w:rsidRDefault="000327FC" w:rsidP="00B22D79">
            <w:pPr>
              <w:jc w:val="center"/>
              <w:rPr>
                <w:rFonts w:ascii="Calibri" w:eastAsia="Times New Roman" w:hAnsi="Calibri" w:cs="Times New Roman"/>
                <w:b/>
                <w:bCs/>
                <w:color w:val="000000"/>
                <w:sz w:val="22"/>
                <w:szCs w:val="22"/>
                <w:u w:val="single"/>
              </w:rPr>
            </w:pPr>
            <w:r>
              <w:rPr>
                <w:rFonts w:ascii="Calibri" w:eastAsia="Times New Roman" w:hAnsi="Calibri" w:cs="Times New Roman"/>
                <w:b/>
                <w:bCs/>
                <w:color w:val="000000"/>
                <w:sz w:val="22"/>
                <w:szCs w:val="22"/>
                <w:u w:val="single"/>
              </w:rPr>
              <w:t>Shuttle</w:t>
            </w:r>
          </w:p>
        </w:tc>
        <w:tc>
          <w:tcPr>
            <w:tcW w:w="1336" w:type="dxa"/>
            <w:noWrap/>
            <w:vAlign w:val="center"/>
            <w:hideMark/>
          </w:tcPr>
          <w:p w14:paraId="6130F27D" w14:textId="77777777" w:rsidR="00195F19" w:rsidRPr="002166E1" w:rsidRDefault="00195F19" w:rsidP="00B22D79">
            <w:pPr>
              <w:jc w:val="center"/>
              <w:rPr>
                <w:rFonts w:ascii="Calibri" w:eastAsia="Times New Roman" w:hAnsi="Calibri" w:cs="Times New Roman"/>
                <w:b/>
                <w:bCs/>
                <w:color w:val="000000"/>
                <w:sz w:val="22"/>
                <w:szCs w:val="22"/>
                <w:u w:val="single"/>
              </w:rPr>
            </w:pPr>
            <w:r w:rsidRPr="002166E1">
              <w:rPr>
                <w:rFonts w:ascii="Calibri" w:eastAsia="Times New Roman" w:hAnsi="Calibri" w:cs="Times New Roman"/>
                <w:b/>
                <w:bCs/>
                <w:color w:val="000000"/>
                <w:sz w:val="22"/>
                <w:szCs w:val="22"/>
                <w:u w:val="single"/>
              </w:rPr>
              <w:t>Hinesville</w:t>
            </w:r>
          </w:p>
        </w:tc>
        <w:tc>
          <w:tcPr>
            <w:tcW w:w="1321" w:type="dxa"/>
            <w:noWrap/>
            <w:vAlign w:val="center"/>
            <w:hideMark/>
          </w:tcPr>
          <w:p w14:paraId="6130F27E" w14:textId="77777777" w:rsidR="00195F19" w:rsidRPr="002166E1" w:rsidRDefault="00195F19" w:rsidP="00B22D79">
            <w:pPr>
              <w:jc w:val="center"/>
              <w:rPr>
                <w:rFonts w:ascii="Calibri" w:eastAsia="Times New Roman" w:hAnsi="Calibri" w:cs="Times New Roman"/>
                <w:b/>
                <w:bCs/>
                <w:color w:val="000000"/>
                <w:sz w:val="22"/>
                <w:szCs w:val="22"/>
                <w:u w:val="single"/>
              </w:rPr>
            </w:pPr>
            <w:r w:rsidRPr="002166E1">
              <w:rPr>
                <w:rFonts w:ascii="Calibri" w:eastAsia="Times New Roman" w:hAnsi="Calibri" w:cs="Times New Roman"/>
                <w:b/>
                <w:bCs/>
                <w:color w:val="000000"/>
                <w:sz w:val="22"/>
                <w:szCs w:val="22"/>
                <w:u w:val="single"/>
              </w:rPr>
              <w:t>Albany</w:t>
            </w:r>
          </w:p>
        </w:tc>
        <w:tc>
          <w:tcPr>
            <w:tcW w:w="1321" w:type="dxa"/>
            <w:vAlign w:val="center"/>
          </w:tcPr>
          <w:p w14:paraId="6130F27F" w14:textId="77777777" w:rsidR="00195F19" w:rsidRDefault="00195F19" w:rsidP="00B22D79">
            <w:pPr>
              <w:jc w:val="center"/>
              <w:rPr>
                <w:rFonts w:ascii="Calibri" w:eastAsia="Times New Roman" w:hAnsi="Calibri" w:cs="Times New Roman"/>
                <w:b/>
                <w:bCs/>
                <w:color w:val="000000"/>
                <w:sz w:val="22"/>
                <w:szCs w:val="22"/>
                <w:u w:val="single"/>
              </w:rPr>
            </w:pPr>
            <w:r>
              <w:rPr>
                <w:rFonts w:ascii="Calibri" w:hAnsi="Calibri"/>
                <w:b/>
                <w:bCs/>
                <w:color w:val="000000"/>
                <w:sz w:val="22"/>
                <w:szCs w:val="22"/>
                <w:u w:val="single"/>
              </w:rPr>
              <w:t>Lowndes</w:t>
            </w:r>
          </w:p>
        </w:tc>
      </w:tr>
      <w:tr w:rsidR="00195F19" w:rsidRPr="002166E1" w14:paraId="6130F286" w14:textId="77777777" w:rsidTr="00885D10">
        <w:trPr>
          <w:trHeight w:val="300"/>
        </w:trPr>
        <w:tc>
          <w:tcPr>
            <w:tcW w:w="3387" w:type="dxa"/>
            <w:noWrap/>
            <w:vAlign w:val="center"/>
            <w:hideMark/>
          </w:tcPr>
          <w:p w14:paraId="6130F281" w14:textId="77777777" w:rsidR="00195F19" w:rsidRPr="002166E1" w:rsidRDefault="00195F19" w:rsidP="00B22D79">
            <w:pP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Op. Exp. per Vehicle Rev. Miles</w:t>
            </w:r>
          </w:p>
        </w:tc>
        <w:tc>
          <w:tcPr>
            <w:tcW w:w="1336" w:type="dxa"/>
            <w:noWrap/>
            <w:vAlign w:val="center"/>
            <w:hideMark/>
          </w:tcPr>
          <w:p w14:paraId="6130F282"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5</w:t>
            </w:r>
            <w:r w:rsidRPr="002166E1">
              <w:rPr>
                <w:rFonts w:ascii="Calibri" w:eastAsia="Times New Roman" w:hAnsi="Calibri" w:cs="Times New Roman"/>
                <w:color w:val="000000"/>
                <w:sz w:val="22"/>
                <w:szCs w:val="22"/>
              </w:rPr>
              <w:t>.</w:t>
            </w:r>
            <w:r>
              <w:rPr>
                <w:rFonts w:ascii="Calibri" w:eastAsia="Times New Roman" w:hAnsi="Calibri" w:cs="Times New Roman"/>
                <w:color w:val="000000"/>
                <w:sz w:val="22"/>
                <w:szCs w:val="22"/>
              </w:rPr>
              <w:t>7</w:t>
            </w:r>
            <w:r w:rsidRPr="002166E1">
              <w:rPr>
                <w:rFonts w:ascii="Calibri" w:eastAsia="Times New Roman" w:hAnsi="Calibri" w:cs="Times New Roman"/>
                <w:color w:val="000000"/>
                <w:sz w:val="22"/>
                <w:szCs w:val="22"/>
              </w:rPr>
              <w:t>7</w:t>
            </w:r>
          </w:p>
        </w:tc>
        <w:tc>
          <w:tcPr>
            <w:tcW w:w="1336" w:type="dxa"/>
            <w:noWrap/>
            <w:vAlign w:val="center"/>
            <w:hideMark/>
          </w:tcPr>
          <w:p w14:paraId="6130F283" w14:textId="77777777" w:rsidR="00195F19" w:rsidRPr="002166E1" w:rsidRDefault="00195F19"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 xml:space="preserve">$ </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5.94</w:t>
            </w:r>
          </w:p>
        </w:tc>
        <w:tc>
          <w:tcPr>
            <w:tcW w:w="1321" w:type="dxa"/>
            <w:noWrap/>
            <w:vAlign w:val="center"/>
            <w:hideMark/>
          </w:tcPr>
          <w:p w14:paraId="6130F284" w14:textId="77777777" w:rsidR="00195F19" w:rsidRPr="002166E1" w:rsidRDefault="00195F19" w:rsidP="00B22D79">
            <w:pPr>
              <w:jc w:val="center"/>
              <w:rPr>
                <w:rFonts w:ascii="Calibri" w:eastAsia="Times New Roman" w:hAnsi="Calibri" w:cs="Times New Roman"/>
                <w:color w:val="000000"/>
                <w:sz w:val="22"/>
                <w:szCs w:val="22"/>
              </w:rPr>
            </w:pPr>
            <w:r>
              <w:rPr>
                <w:rFonts w:ascii="Calibri" w:hAnsi="Calibri"/>
                <w:color w:val="000000"/>
                <w:sz w:val="22"/>
                <w:szCs w:val="22"/>
              </w:rPr>
              <w:t>$           4.03</w:t>
            </w:r>
          </w:p>
        </w:tc>
        <w:tc>
          <w:tcPr>
            <w:tcW w:w="1321" w:type="dxa"/>
            <w:vAlign w:val="center"/>
          </w:tcPr>
          <w:p w14:paraId="6130F285" w14:textId="77777777" w:rsidR="00195F19" w:rsidRDefault="00195F19" w:rsidP="00B22D79">
            <w:pPr>
              <w:rPr>
                <w:rFonts w:ascii="Calibri" w:hAnsi="Calibri"/>
                <w:color w:val="000000"/>
                <w:sz w:val="22"/>
                <w:szCs w:val="22"/>
              </w:rPr>
            </w:pPr>
            <w:r>
              <w:rPr>
                <w:rFonts w:ascii="Calibri" w:hAnsi="Calibri"/>
                <w:color w:val="000000"/>
                <w:sz w:val="22"/>
                <w:szCs w:val="22"/>
              </w:rPr>
              <w:t xml:space="preserve">$  </w:t>
            </w:r>
            <w:r w:rsidR="00B22D79">
              <w:rPr>
                <w:rFonts w:ascii="Calibri" w:hAnsi="Calibri"/>
                <w:color w:val="000000"/>
                <w:sz w:val="22"/>
                <w:szCs w:val="22"/>
              </w:rPr>
              <w:t xml:space="preserve">  </w:t>
            </w:r>
            <w:r w:rsidR="002B34BE">
              <w:rPr>
                <w:rFonts w:ascii="Calibri" w:hAnsi="Calibri"/>
                <w:color w:val="000000"/>
                <w:sz w:val="22"/>
                <w:szCs w:val="22"/>
              </w:rPr>
              <w:t xml:space="preserve">       </w:t>
            </w:r>
            <w:r>
              <w:rPr>
                <w:rFonts w:ascii="Calibri" w:hAnsi="Calibri"/>
                <w:color w:val="000000"/>
                <w:sz w:val="22"/>
                <w:szCs w:val="22"/>
              </w:rPr>
              <w:t>1.39</w:t>
            </w:r>
          </w:p>
        </w:tc>
      </w:tr>
      <w:tr w:rsidR="00195F19" w:rsidRPr="002166E1" w14:paraId="6130F28C" w14:textId="77777777" w:rsidTr="00885D10">
        <w:trPr>
          <w:trHeight w:val="300"/>
        </w:trPr>
        <w:tc>
          <w:tcPr>
            <w:tcW w:w="3387" w:type="dxa"/>
            <w:noWrap/>
            <w:vAlign w:val="center"/>
            <w:hideMark/>
          </w:tcPr>
          <w:p w14:paraId="6130F287" w14:textId="77777777" w:rsidR="00195F19" w:rsidRPr="002166E1" w:rsidRDefault="00195F19" w:rsidP="00B22D79">
            <w:pP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Op. Exp. Per Vehicle Rev. Hours</w:t>
            </w:r>
          </w:p>
        </w:tc>
        <w:tc>
          <w:tcPr>
            <w:tcW w:w="1336" w:type="dxa"/>
            <w:noWrap/>
            <w:vAlign w:val="center"/>
            <w:hideMark/>
          </w:tcPr>
          <w:p w14:paraId="6130F288" w14:textId="77777777" w:rsidR="00195F19" w:rsidRPr="002166E1" w:rsidRDefault="00195F19" w:rsidP="00B22D79">
            <w:pPr>
              <w:jc w:val="cente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 xml:space="preserve">$ </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100.95</w:t>
            </w:r>
          </w:p>
        </w:tc>
        <w:tc>
          <w:tcPr>
            <w:tcW w:w="1336" w:type="dxa"/>
            <w:noWrap/>
            <w:vAlign w:val="center"/>
            <w:hideMark/>
          </w:tcPr>
          <w:p w14:paraId="6130F289"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 xml:space="preserve">$ </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75.51</w:t>
            </w:r>
          </w:p>
        </w:tc>
        <w:tc>
          <w:tcPr>
            <w:tcW w:w="1321" w:type="dxa"/>
            <w:noWrap/>
            <w:vAlign w:val="center"/>
            <w:hideMark/>
          </w:tcPr>
          <w:p w14:paraId="6130F28A" w14:textId="77777777" w:rsidR="00195F19" w:rsidRPr="002166E1" w:rsidRDefault="00195F19" w:rsidP="00B22D79">
            <w:pPr>
              <w:jc w:val="center"/>
              <w:rPr>
                <w:rFonts w:ascii="Calibri" w:eastAsia="Times New Roman" w:hAnsi="Calibri" w:cs="Times New Roman"/>
                <w:color w:val="000000"/>
                <w:sz w:val="22"/>
                <w:szCs w:val="22"/>
              </w:rPr>
            </w:pPr>
            <w:r>
              <w:rPr>
                <w:rFonts w:ascii="Calibri" w:hAnsi="Calibri"/>
                <w:color w:val="000000"/>
                <w:sz w:val="22"/>
                <w:szCs w:val="22"/>
              </w:rPr>
              <w:t>$</w:t>
            </w:r>
            <w:r w:rsidR="00B22D79">
              <w:rPr>
                <w:rFonts w:ascii="Calibri" w:hAnsi="Calibri"/>
                <w:color w:val="000000"/>
                <w:sz w:val="22"/>
                <w:szCs w:val="22"/>
              </w:rPr>
              <w:t xml:space="preserve"> </w:t>
            </w:r>
            <w:r>
              <w:rPr>
                <w:rFonts w:ascii="Calibri" w:hAnsi="Calibri"/>
                <w:color w:val="000000"/>
                <w:sz w:val="22"/>
                <w:szCs w:val="22"/>
              </w:rPr>
              <w:t xml:space="preserve">        65.62</w:t>
            </w:r>
          </w:p>
        </w:tc>
        <w:tc>
          <w:tcPr>
            <w:tcW w:w="1321" w:type="dxa"/>
            <w:vAlign w:val="center"/>
          </w:tcPr>
          <w:p w14:paraId="6130F28B" w14:textId="77777777" w:rsidR="00195F19" w:rsidRDefault="00195F19" w:rsidP="00B22D79">
            <w:pPr>
              <w:rPr>
                <w:rFonts w:ascii="Calibri" w:hAnsi="Calibri"/>
                <w:color w:val="000000"/>
                <w:sz w:val="22"/>
                <w:szCs w:val="22"/>
              </w:rPr>
            </w:pPr>
            <w:r>
              <w:rPr>
                <w:rFonts w:ascii="Calibri" w:hAnsi="Calibri"/>
                <w:color w:val="000000"/>
                <w:sz w:val="22"/>
                <w:szCs w:val="22"/>
              </w:rPr>
              <w:t xml:space="preserve">$ </w:t>
            </w:r>
            <w:r w:rsidR="00B22D79">
              <w:rPr>
                <w:rFonts w:ascii="Calibri" w:hAnsi="Calibri"/>
                <w:color w:val="000000"/>
                <w:sz w:val="22"/>
                <w:szCs w:val="22"/>
              </w:rPr>
              <w:t xml:space="preserve"> </w:t>
            </w:r>
            <w:r>
              <w:rPr>
                <w:rFonts w:ascii="Calibri" w:hAnsi="Calibri"/>
                <w:color w:val="000000"/>
                <w:sz w:val="22"/>
                <w:szCs w:val="22"/>
              </w:rPr>
              <w:t xml:space="preserve">       19.84</w:t>
            </w:r>
            <w:r w:rsidR="002B34BE">
              <w:rPr>
                <w:rFonts w:ascii="Calibri" w:hAnsi="Calibri"/>
                <w:color w:val="000000"/>
                <w:sz w:val="22"/>
                <w:szCs w:val="22"/>
              </w:rPr>
              <w:t xml:space="preserve"> </w:t>
            </w:r>
          </w:p>
        </w:tc>
      </w:tr>
      <w:tr w:rsidR="00195F19" w:rsidRPr="002166E1" w14:paraId="6130F292" w14:textId="77777777" w:rsidTr="00885D10">
        <w:trPr>
          <w:trHeight w:val="300"/>
        </w:trPr>
        <w:tc>
          <w:tcPr>
            <w:tcW w:w="3387" w:type="dxa"/>
            <w:noWrap/>
            <w:vAlign w:val="center"/>
            <w:hideMark/>
          </w:tcPr>
          <w:p w14:paraId="6130F28D" w14:textId="77777777" w:rsidR="00195F19" w:rsidRPr="002166E1" w:rsidRDefault="00195F19" w:rsidP="00B22D79">
            <w:pP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Op. Exp. Per Unlinked Pass. Trip</w:t>
            </w:r>
          </w:p>
        </w:tc>
        <w:tc>
          <w:tcPr>
            <w:tcW w:w="1336" w:type="dxa"/>
            <w:noWrap/>
            <w:vAlign w:val="center"/>
            <w:hideMark/>
          </w:tcPr>
          <w:p w14:paraId="6130F28E"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 xml:space="preserve">$ </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26.55</w:t>
            </w:r>
          </w:p>
        </w:tc>
        <w:tc>
          <w:tcPr>
            <w:tcW w:w="1336" w:type="dxa"/>
            <w:noWrap/>
            <w:vAlign w:val="center"/>
            <w:hideMark/>
          </w:tcPr>
          <w:p w14:paraId="6130F28F"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w:t>
            </w:r>
            <w:r w:rsidR="00B22D79">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2166E1">
              <w:rPr>
                <w:rFonts w:ascii="Calibri" w:eastAsia="Times New Roman" w:hAnsi="Calibri" w:cs="Times New Roman"/>
                <w:color w:val="000000"/>
                <w:sz w:val="22"/>
                <w:szCs w:val="22"/>
              </w:rPr>
              <w:t>38.34</w:t>
            </w:r>
          </w:p>
        </w:tc>
        <w:tc>
          <w:tcPr>
            <w:tcW w:w="1321" w:type="dxa"/>
            <w:noWrap/>
            <w:vAlign w:val="center"/>
            <w:hideMark/>
          </w:tcPr>
          <w:p w14:paraId="6130F290" w14:textId="77777777" w:rsidR="00195F19" w:rsidRPr="002166E1" w:rsidRDefault="00195F19" w:rsidP="00B22D79">
            <w:pPr>
              <w:jc w:val="right"/>
              <w:rPr>
                <w:rFonts w:ascii="Calibri" w:eastAsia="Times New Roman" w:hAnsi="Calibri" w:cs="Times New Roman"/>
                <w:color w:val="000000"/>
                <w:sz w:val="22"/>
                <w:szCs w:val="22"/>
              </w:rPr>
            </w:pPr>
            <w:r>
              <w:rPr>
                <w:rFonts w:ascii="Calibri" w:hAnsi="Calibri"/>
                <w:color w:val="000000"/>
                <w:sz w:val="22"/>
                <w:szCs w:val="22"/>
              </w:rPr>
              <w:t>$           2.23</w:t>
            </w:r>
          </w:p>
        </w:tc>
        <w:tc>
          <w:tcPr>
            <w:tcW w:w="1321" w:type="dxa"/>
            <w:vAlign w:val="center"/>
          </w:tcPr>
          <w:p w14:paraId="6130F291" w14:textId="77777777" w:rsidR="00195F19" w:rsidRDefault="00195F19" w:rsidP="00B22D79">
            <w:pPr>
              <w:rPr>
                <w:rFonts w:ascii="Calibri" w:hAnsi="Calibri"/>
                <w:color w:val="000000"/>
                <w:sz w:val="22"/>
                <w:szCs w:val="22"/>
              </w:rPr>
            </w:pPr>
            <w:r>
              <w:rPr>
                <w:rFonts w:ascii="Calibri" w:hAnsi="Calibri"/>
                <w:color w:val="000000"/>
                <w:sz w:val="22"/>
                <w:szCs w:val="22"/>
              </w:rPr>
              <w:t>$</w:t>
            </w:r>
            <w:r w:rsidR="00B22D79">
              <w:rPr>
                <w:rFonts w:ascii="Calibri" w:hAnsi="Calibri"/>
                <w:color w:val="000000"/>
                <w:sz w:val="22"/>
                <w:szCs w:val="22"/>
              </w:rPr>
              <w:t xml:space="preserve"> </w:t>
            </w:r>
            <w:r w:rsidR="002B34BE">
              <w:rPr>
                <w:rFonts w:ascii="Calibri" w:hAnsi="Calibri"/>
                <w:color w:val="000000"/>
                <w:sz w:val="22"/>
                <w:szCs w:val="22"/>
              </w:rPr>
              <w:t xml:space="preserve">        </w:t>
            </w:r>
            <w:r>
              <w:rPr>
                <w:rFonts w:ascii="Calibri" w:hAnsi="Calibri"/>
                <w:color w:val="000000"/>
                <w:sz w:val="22"/>
                <w:szCs w:val="22"/>
              </w:rPr>
              <w:t>11.80</w:t>
            </w:r>
          </w:p>
        </w:tc>
      </w:tr>
      <w:tr w:rsidR="00195F19" w:rsidRPr="002166E1" w14:paraId="6130F298" w14:textId="77777777" w:rsidTr="00885D10">
        <w:trPr>
          <w:trHeight w:val="300"/>
        </w:trPr>
        <w:tc>
          <w:tcPr>
            <w:tcW w:w="3387" w:type="dxa"/>
            <w:noWrap/>
            <w:vAlign w:val="center"/>
            <w:hideMark/>
          </w:tcPr>
          <w:p w14:paraId="6130F293" w14:textId="77777777" w:rsidR="00195F19" w:rsidRPr="002166E1" w:rsidRDefault="00195F19" w:rsidP="00B22D79">
            <w:pP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Unlinked Pass. Trip per Rev. Miles</w:t>
            </w:r>
          </w:p>
        </w:tc>
        <w:tc>
          <w:tcPr>
            <w:tcW w:w="1336" w:type="dxa"/>
            <w:noWrap/>
            <w:vAlign w:val="center"/>
            <w:hideMark/>
          </w:tcPr>
          <w:p w14:paraId="6130F294" w14:textId="77777777" w:rsidR="00195F19" w:rsidRPr="002166E1" w:rsidRDefault="00195F19" w:rsidP="00B22D79">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0.22</w:t>
            </w:r>
          </w:p>
        </w:tc>
        <w:tc>
          <w:tcPr>
            <w:tcW w:w="1336" w:type="dxa"/>
            <w:noWrap/>
            <w:vAlign w:val="center"/>
            <w:hideMark/>
          </w:tcPr>
          <w:p w14:paraId="6130F295"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0.20</w:t>
            </w:r>
          </w:p>
        </w:tc>
        <w:tc>
          <w:tcPr>
            <w:tcW w:w="1321" w:type="dxa"/>
            <w:noWrap/>
            <w:vAlign w:val="center"/>
            <w:hideMark/>
          </w:tcPr>
          <w:p w14:paraId="6130F296" w14:textId="77777777" w:rsidR="00195F19" w:rsidRPr="002166E1" w:rsidRDefault="00195F19" w:rsidP="00B22D79">
            <w:pPr>
              <w:jc w:val="right"/>
              <w:rPr>
                <w:rFonts w:ascii="Calibri" w:eastAsia="Times New Roman" w:hAnsi="Calibri" w:cs="Times New Roman"/>
                <w:color w:val="000000"/>
                <w:sz w:val="22"/>
                <w:szCs w:val="22"/>
              </w:rPr>
            </w:pPr>
            <w:r>
              <w:rPr>
                <w:rFonts w:ascii="Calibri" w:hAnsi="Calibri"/>
                <w:color w:val="000000"/>
                <w:sz w:val="22"/>
                <w:szCs w:val="22"/>
              </w:rPr>
              <w:t>1.81</w:t>
            </w:r>
          </w:p>
        </w:tc>
        <w:tc>
          <w:tcPr>
            <w:tcW w:w="1321" w:type="dxa"/>
            <w:vAlign w:val="center"/>
          </w:tcPr>
          <w:p w14:paraId="6130F297" w14:textId="77777777" w:rsidR="00195F19" w:rsidRDefault="002B34BE" w:rsidP="002B34BE">
            <w:pPr>
              <w:jc w:val="center"/>
              <w:rPr>
                <w:rFonts w:ascii="Calibri" w:hAnsi="Calibri"/>
                <w:color w:val="000000"/>
                <w:sz w:val="22"/>
                <w:szCs w:val="22"/>
              </w:rPr>
            </w:pPr>
            <w:r>
              <w:rPr>
                <w:rFonts w:ascii="Calibri" w:hAnsi="Calibri"/>
                <w:color w:val="000000"/>
                <w:sz w:val="22"/>
                <w:szCs w:val="22"/>
              </w:rPr>
              <w:t xml:space="preserve">            </w:t>
            </w:r>
            <w:r w:rsidR="00195F19">
              <w:rPr>
                <w:rFonts w:ascii="Calibri" w:hAnsi="Calibri"/>
                <w:color w:val="000000"/>
                <w:sz w:val="22"/>
                <w:szCs w:val="22"/>
              </w:rPr>
              <w:t>0.12</w:t>
            </w:r>
          </w:p>
        </w:tc>
      </w:tr>
      <w:tr w:rsidR="00195F19" w:rsidRPr="002166E1" w14:paraId="6130F29E" w14:textId="77777777" w:rsidTr="00885D10">
        <w:trPr>
          <w:trHeight w:val="300"/>
        </w:trPr>
        <w:tc>
          <w:tcPr>
            <w:tcW w:w="3387" w:type="dxa"/>
            <w:noWrap/>
            <w:vAlign w:val="center"/>
            <w:hideMark/>
          </w:tcPr>
          <w:p w14:paraId="6130F299" w14:textId="77777777" w:rsidR="00195F19" w:rsidRPr="002166E1" w:rsidRDefault="00195F19" w:rsidP="00B22D79">
            <w:pPr>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Unlinked Pass. Trip per Rev. Hours</w:t>
            </w:r>
          </w:p>
        </w:tc>
        <w:tc>
          <w:tcPr>
            <w:tcW w:w="1336" w:type="dxa"/>
            <w:noWrap/>
            <w:vAlign w:val="center"/>
            <w:hideMark/>
          </w:tcPr>
          <w:p w14:paraId="6130F29A" w14:textId="77777777" w:rsidR="00195F19" w:rsidRPr="002166E1" w:rsidRDefault="00195F19" w:rsidP="00B22D79">
            <w:pPr>
              <w:jc w:val="right"/>
              <w:rPr>
                <w:rFonts w:ascii="Calibri" w:eastAsia="Times New Roman" w:hAnsi="Calibri" w:cs="Times New Roman"/>
                <w:color w:val="000000"/>
                <w:sz w:val="22"/>
                <w:szCs w:val="22"/>
              </w:rPr>
            </w:pPr>
            <w:r>
              <w:rPr>
                <w:rFonts w:ascii="Calibri" w:eastAsia="Times New Roman" w:hAnsi="Calibri" w:cs="Times New Roman"/>
                <w:color w:val="000000"/>
                <w:sz w:val="22"/>
                <w:szCs w:val="22"/>
              </w:rPr>
              <w:t>3.80</w:t>
            </w:r>
          </w:p>
        </w:tc>
        <w:tc>
          <w:tcPr>
            <w:tcW w:w="1336" w:type="dxa"/>
            <w:noWrap/>
            <w:vAlign w:val="center"/>
            <w:hideMark/>
          </w:tcPr>
          <w:p w14:paraId="6130F29B" w14:textId="77777777" w:rsidR="00195F19" w:rsidRPr="002166E1" w:rsidRDefault="00195F19" w:rsidP="00B22D79">
            <w:pPr>
              <w:jc w:val="right"/>
              <w:rPr>
                <w:rFonts w:ascii="Calibri" w:eastAsia="Times New Roman" w:hAnsi="Calibri" w:cs="Times New Roman"/>
                <w:color w:val="000000"/>
                <w:sz w:val="22"/>
                <w:szCs w:val="22"/>
              </w:rPr>
            </w:pPr>
            <w:r w:rsidRPr="002166E1">
              <w:rPr>
                <w:rFonts w:ascii="Calibri" w:eastAsia="Times New Roman" w:hAnsi="Calibri" w:cs="Times New Roman"/>
                <w:color w:val="000000"/>
                <w:sz w:val="22"/>
                <w:szCs w:val="22"/>
              </w:rPr>
              <w:t>2.00</w:t>
            </w:r>
          </w:p>
        </w:tc>
        <w:tc>
          <w:tcPr>
            <w:tcW w:w="1321" w:type="dxa"/>
            <w:noWrap/>
            <w:vAlign w:val="center"/>
            <w:hideMark/>
          </w:tcPr>
          <w:p w14:paraId="6130F29C" w14:textId="77777777" w:rsidR="00195F19" w:rsidRPr="002166E1" w:rsidRDefault="00195F19" w:rsidP="00B22D79">
            <w:pPr>
              <w:jc w:val="right"/>
              <w:rPr>
                <w:rFonts w:ascii="Calibri" w:eastAsia="Times New Roman" w:hAnsi="Calibri" w:cs="Times New Roman"/>
                <w:color w:val="000000"/>
                <w:sz w:val="22"/>
                <w:szCs w:val="22"/>
              </w:rPr>
            </w:pPr>
            <w:r>
              <w:rPr>
                <w:rFonts w:ascii="Calibri" w:hAnsi="Calibri"/>
                <w:color w:val="000000"/>
                <w:sz w:val="22"/>
                <w:szCs w:val="22"/>
              </w:rPr>
              <w:t>29.50</w:t>
            </w:r>
          </w:p>
        </w:tc>
        <w:tc>
          <w:tcPr>
            <w:tcW w:w="1321" w:type="dxa"/>
            <w:vAlign w:val="center"/>
          </w:tcPr>
          <w:p w14:paraId="6130F29D" w14:textId="77777777" w:rsidR="00195F19" w:rsidRDefault="002B34BE" w:rsidP="00885D10">
            <w:pPr>
              <w:keepNext/>
              <w:jc w:val="center"/>
              <w:rPr>
                <w:rFonts w:ascii="Calibri" w:hAnsi="Calibri"/>
                <w:color w:val="000000"/>
                <w:sz w:val="22"/>
                <w:szCs w:val="22"/>
              </w:rPr>
            </w:pPr>
            <w:r>
              <w:rPr>
                <w:rFonts w:ascii="Calibri" w:hAnsi="Calibri"/>
                <w:color w:val="000000"/>
                <w:sz w:val="22"/>
                <w:szCs w:val="22"/>
              </w:rPr>
              <w:t xml:space="preserve">            </w:t>
            </w:r>
            <w:r w:rsidR="00195F19">
              <w:rPr>
                <w:rFonts w:ascii="Calibri" w:hAnsi="Calibri"/>
                <w:color w:val="000000"/>
                <w:sz w:val="22"/>
                <w:szCs w:val="22"/>
              </w:rPr>
              <w:t>1.68</w:t>
            </w:r>
          </w:p>
        </w:tc>
      </w:tr>
    </w:tbl>
    <w:p w14:paraId="6130F29F" w14:textId="77777777" w:rsidR="00885D10" w:rsidRDefault="00885D10">
      <w:pPr>
        <w:pStyle w:val="Caption"/>
      </w:pPr>
      <w:r w:rsidRPr="00C46FBB">
        <w:t>This table shows the same NTD reporting, with the SGRC’s administrative costs factored into the Operating Expense category</w:t>
      </w:r>
    </w:p>
    <w:p w14:paraId="6130F2A0" w14:textId="77777777" w:rsidR="000565CF" w:rsidRDefault="000327FC" w:rsidP="00F20795">
      <w:pPr>
        <w:spacing w:after="200"/>
        <w:jc w:val="both"/>
        <w:rPr>
          <w:rFonts w:asciiTheme="minorHAnsi" w:hAnsiTheme="minorHAnsi"/>
        </w:rPr>
      </w:pPr>
      <w:r w:rsidRPr="000327FC">
        <w:rPr>
          <w:rFonts w:asciiTheme="minorHAnsi" w:hAnsiTheme="minorHAnsi"/>
        </w:rPr>
        <w:t>It</w:t>
      </w:r>
      <w:r w:rsidR="00C2265B">
        <w:rPr>
          <w:rFonts w:asciiTheme="minorHAnsi" w:hAnsiTheme="minorHAnsi"/>
        </w:rPr>
        <w:t xml:space="preserve"> should be noted that the term “</w:t>
      </w:r>
      <w:r w:rsidRPr="000327FC">
        <w:rPr>
          <w:rFonts w:asciiTheme="minorHAnsi" w:hAnsiTheme="minorHAnsi"/>
        </w:rPr>
        <w:t>bus</w:t>
      </w:r>
      <w:r w:rsidR="00C2265B">
        <w:rPr>
          <w:rFonts w:asciiTheme="minorHAnsi" w:hAnsiTheme="minorHAnsi"/>
        </w:rPr>
        <w:t>”</w:t>
      </w:r>
      <w:r>
        <w:rPr>
          <w:rFonts w:asciiTheme="minorHAnsi" w:hAnsiTheme="minorHAnsi"/>
        </w:rPr>
        <w:t xml:space="preserve"> in the tables</w:t>
      </w:r>
      <w:r w:rsidRPr="000327FC">
        <w:rPr>
          <w:rFonts w:asciiTheme="minorHAnsi" w:hAnsiTheme="minorHAnsi"/>
        </w:rPr>
        <w:t xml:space="preserve"> does not indicate the same type of</w:t>
      </w:r>
      <w:r w:rsidR="00C2265B">
        <w:rPr>
          <w:rFonts w:asciiTheme="minorHAnsi" w:hAnsiTheme="minorHAnsi"/>
        </w:rPr>
        <w:t xml:space="preserve"> vehicle. The Shuttle used a 15-</w:t>
      </w:r>
      <w:r w:rsidRPr="000327FC">
        <w:rPr>
          <w:rFonts w:asciiTheme="minorHAnsi" w:hAnsiTheme="minorHAnsi"/>
        </w:rPr>
        <w:t>passenger van, while Hinesville, Albany, and Lowndes use a mixed fleet of vehicles ranging from passenger vans, ADA wheelchair cutaway vans, to 30</w:t>
      </w:r>
      <w:r w:rsidR="00C2265B">
        <w:rPr>
          <w:rFonts w:asciiTheme="minorHAnsi" w:hAnsiTheme="minorHAnsi"/>
        </w:rPr>
        <w:t>-</w:t>
      </w:r>
      <w:r w:rsidRPr="000327FC">
        <w:rPr>
          <w:rFonts w:asciiTheme="minorHAnsi" w:hAnsiTheme="minorHAnsi"/>
        </w:rPr>
        <w:t xml:space="preserve"> and 40</w:t>
      </w:r>
      <w:r w:rsidR="00C2265B">
        <w:rPr>
          <w:rFonts w:asciiTheme="minorHAnsi" w:hAnsiTheme="minorHAnsi"/>
        </w:rPr>
        <w:t>-</w:t>
      </w:r>
      <w:r w:rsidRPr="000327FC">
        <w:rPr>
          <w:rFonts w:asciiTheme="minorHAnsi" w:hAnsiTheme="minorHAnsi"/>
        </w:rPr>
        <w:t>passenger heavy</w:t>
      </w:r>
      <w:r w:rsidR="000565CF">
        <w:rPr>
          <w:rFonts w:asciiTheme="minorHAnsi" w:hAnsiTheme="minorHAnsi"/>
        </w:rPr>
        <w:t>-duty</w:t>
      </w:r>
      <w:r w:rsidRPr="000327FC">
        <w:rPr>
          <w:rFonts w:asciiTheme="minorHAnsi" w:hAnsiTheme="minorHAnsi"/>
        </w:rPr>
        <w:t xml:space="preserve"> buses. </w:t>
      </w:r>
      <w:r>
        <w:rPr>
          <w:rFonts w:asciiTheme="minorHAnsi" w:hAnsiTheme="minorHAnsi"/>
        </w:rPr>
        <w:t xml:space="preserve">These vehicles have different operating costs and might </w:t>
      </w:r>
      <w:r w:rsidR="0067257A">
        <w:rPr>
          <w:rFonts w:asciiTheme="minorHAnsi" w:hAnsiTheme="minorHAnsi"/>
        </w:rPr>
        <w:t>impact the overall operating costs for each system.</w:t>
      </w:r>
    </w:p>
    <w:p w14:paraId="6130F2A1" w14:textId="77777777" w:rsidR="000565CF" w:rsidRPr="00F20795" w:rsidRDefault="00F371B1" w:rsidP="00F20795">
      <w:pPr>
        <w:spacing w:after="200"/>
        <w:jc w:val="both"/>
        <w:rPr>
          <w:rFonts w:asciiTheme="minorHAnsi" w:hAnsiTheme="minorHAnsi"/>
        </w:rPr>
      </w:pPr>
      <w:r>
        <w:rPr>
          <w:rFonts w:asciiTheme="minorHAnsi" w:hAnsiTheme="minorHAnsi"/>
        </w:rPr>
        <w:t>Monthly ridership repo</w:t>
      </w:r>
      <w:r w:rsidR="0079785F">
        <w:rPr>
          <w:rFonts w:asciiTheme="minorHAnsi" w:hAnsiTheme="minorHAnsi"/>
        </w:rPr>
        <w:t>rts for the shuttle and Transit Agency P</w:t>
      </w:r>
      <w:r>
        <w:rPr>
          <w:rFonts w:asciiTheme="minorHAnsi" w:hAnsiTheme="minorHAnsi"/>
        </w:rPr>
        <w:t xml:space="preserve">rofiles for the comparison cities can be found in </w:t>
      </w:r>
      <w:r w:rsidR="004104E8">
        <w:rPr>
          <w:rFonts w:asciiTheme="minorHAnsi" w:hAnsiTheme="minorHAnsi"/>
        </w:rPr>
        <w:t>the appendix.</w:t>
      </w:r>
      <w:r w:rsidR="00810E9C" w:rsidRPr="000327FC">
        <w:rPr>
          <w:rFonts w:asciiTheme="minorHAnsi" w:hAnsiTheme="minorHAnsi"/>
        </w:rPr>
        <w:br w:type="page"/>
      </w:r>
    </w:p>
    <w:p w14:paraId="6130F2A2" w14:textId="77777777" w:rsidR="0006512D" w:rsidRDefault="007D1E3A" w:rsidP="007D1E3A">
      <w:pPr>
        <w:pStyle w:val="Heading1"/>
      </w:pPr>
      <w:bookmarkStart w:id="5" w:name="_Toc477860551"/>
      <w:r>
        <w:lastRenderedPageBreak/>
        <w:t xml:space="preserve">Part 2: </w:t>
      </w:r>
      <w:r w:rsidR="0006512D">
        <w:t>Estimating Costs and Benefits</w:t>
      </w:r>
      <w:r>
        <w:t xml:space="preserve"> of Public Transit</w:t>
      </w:r>
      <w:bookmarkEnd w:id="5"/>
    </w:p>
    <w:p w14:paraId="6130F2A3" w14:textId="77777777" w:rsidR="005A6475" w:rsidRDefault="005A6475" w:rsidP="00F20795">
      <w:pPr>
        <w:jc w:val="both"/>
        <w:rPr>
          <w:rFonts w:asciiTheme="minorHAnsi" w:hAnsiTheme="minorHAnsi"/>
        </w:rPr>
      </w:pPr>
    </w:p>
    <w:p w14:paraId="6130F2A4" w14:textId="77777777" w:rsidR="005A6475" w:rsidRPr="00CA524C" w:rsidRDefault="00C40599" w:rsidP="00F20795">
      <w:pPr>
        <w:jc w:val="both"/>
        <w:rPr>
          <w:rFonts w:asciiTheme="minorHAnsi" w:hAnsiTheme="minorHAnsi"/>
        </w:rPr>
      </w:pPr>
      <w:r w:rsidRPr="00CA524C">
        <w:rPr>
          <w:rFonts w:asciiTheme="minorHAnsi" w:hAnsiTheme="minorHAnsi"/>
        </w:rPr>
        <w:t xml:space="preserve">Utilizing a </w:t>
      </w:r>
      <w:r w:rsidR="009822E7" w:rsidRPr="00CA524C">
        <w:rPr>
          <w:rFonts w:asciiTheme="minorHAnsi" w:hAnsiTheme="minorHAnsi"/>
        </w:rPr>
        <w:t xml:space="preserve">National Center for Transit Research </w:t>
      </w:r>
      <w:r w:rsidRPr="00CA524C">
        <w:rPr>
          <w:rFonts w:asciiTheme="minorHAnsi" w:hAnsiTheme="minorHAnsi"/>
        </w:rPr>
        <w:t>Cost-Benefit Analysis of Rural and Small Urban Transit report</w:t>
      </w:r>
      <w:r w:rsidR="009822E7" w:rsidRPr="00CA524C">
        <w:rPr>
          <w:rFonts w:asciiTheme="minorHAnsi" w:hAnsiTheme="minorHAnsi"/>
        </w:rPr>
        <w:t xml:space="preserve"> prepared for the US DOT, an estimation of cost and potential benefits was calculated for the Valdosta-Lowndes </w:t>
      </w:r>
      <w:r w:rsidR="000565CF">
        <w:rPr>
          <w:rFonts w:asciiTheme="minorHAnsi" w:hAnsiTheme="minorHAnsi"/>
        </w:rPr>
        <w:t xml:space="preserve">County </w:t>
      </w:r>
      <w:r w:rsidR="009822E7" w:rsidRPr="00CA524C">
        <w:rPr>
          <w:rFonts w:asciiTheme="minorHAnsi" w:hAnsiTheme="minorHAnsi"/>
        </w:rPr>
        <w:t>area, with figures from the Valdosta Transit Implementation Study prepared by Tindale Oliver and the Valdosta Pilot Shuttle Program, as well as national survey responses and other studies. The table below provides a summary of the calculations, which are explained in further detail in this section.</w:t>
      </w:r>
      <w:r w:rsidR="00D930BF">
        <w:rPr>
          <w:rFonts w:asciiTheme="minorHAnsi" w:hAnsiTheme="minorHAnsi"/>
        </w:rPr>
        <w:t xml:space="preserve"> </w:t>
      </w:r>
      <w:r w:rsidR="00D930BF">
        <w:rPr>
          <w:rFonts w:asciiTheme="minorHAnsi" w:hAnsiTheme="minorHAnsi"/>
          <w:szCs w:val="22"/>
        </w:rPr>
        <w:t>When</w:t>
      </w:r>
      <w:r w:rsidR="00D930BF" w:rsidRPr="00D930BF">
        <w:rPr>
          <w:rFonts w:asciiTheme="minorHAnsi" w:hAnsiTheme="minorHAnsi"/>
          <w:szCs w:val="22"/>
        </w:rPr>
        <w:t xml:space="preserve"> estimated </w:t>
      </w:r>
      <w:r w:rsidR="00037E65">
        <w:rPr>
          <w:rFonts w:asciiTheme="minorHAnsi" w:hAnsiTheme="minorHAnsi"/>
          <w:szCs w:val="22"/>
        </w:rPr>
        <w:t>cost-benefit</w:t>
      </w:r>
      <w:r w:rsidR="00D930BF" w:rsidRPr="00D930BF">
        <w:rPr>
          <w:rFonts w:asciiTheme="minorHAnsi" w:hAnsiTheme="minorHAnsi"/>
          <w:szCs w:val="22"/>
        </w:rPr>
        <w:t xml:space="preserve"> ratios </w:t>
      </w:r>
      <w:r w:rsidR="00D930BF">
        <w:rPr>
          <w:rFonts w:asciiTheme="minorHAnsi" w:hAnsiTheme="minorHAnsi"/>
          <w:szCs w:val="22"/>
        </w:rPr>
        <w:t xml:space="preserve">are </w:t>
      </w:r>
      <w:r w:rsidR="00D930BF" w:rsidRPr="00D930BF">
        <w:rPr>
          <w:rFonts w:asciiTheme="minorHAnsi" w:hAnsiTheme="minorHAnsi"/>
          <w:szCs w:val="22"/>
        </w:rPr>
        <w:t>greater than 1, the results show that the benefits provided by transit services are greater than the costs of providing those services.</w:t>
      </w:r>
      <w:r w:rsidR="00E077A3">
        <w:rPr>
          <w:rFonts w:asciiTheme="minorHAnsi" w:hAnsiTheme="minorHAnsi"/>
          <w:szCs w:val="22"/>
        </w:rPr>
        <w:t xml:space="preserve"> These numbers do not include complementary paratransit costs that would be required under a permanent system.</w:t>
      </w:r>
    </w:p>
    <w:p w14:paraId="6130F2A5" w14:textId="77777777" w:rsidR="00C40599" w:rsidRDefault="00C40599" w:rsidP="00C40599"/>
    <w:tbl>
      <w:tblPr>
        <w:tblW w:w="9450" w:type="dxa"/>
        <w:tblInd w:w="108" w:type="dxa"/>
        <w:tblLayout w:type="fixed"/>
        <w:tblLook w:val="04A0" w:firstRow="1" w:lastRow="0" w:firstColumn="1" w:lastColumn="0" w:noHBand="0" w:noVBand="1"/>
      </w:tblPr>
      <w:tblGrid>
        <w:gridCol w:w="2430"/>
        <w:gridCol w:w="1759"/>
        <w:gridCol w:w="1760"/>
        <w:gridCol w:w="1759"/>
        <w:gridCol w:w="1742"/>
      </w:tblGrid>
      <w:tr w:rsidR="00952D90" w:rsidRPr="00C40599" w14:paraId="6130F2AD" w14:textId="77777777" w:rsidTr="00F3393B">
        <w:trPr>
          <w:trHeight w:val="300"/>
        </w:trPr>
        <w:tc>
          <w:tcPr>
            <w:tcW w:w="2430" w:type="dxa"/>
            <w:tcBorders>
              <w:top w:val="nil"/>
              <w:left w:val="nil"/>
              <w:bottom w:val="nil"/>
              <w:right w:val="nil"/>
            </w:tcBorders>
            <w:shd w:val="clear" w:color="auto" w:fill="auto"/>
            <w:noWrap/>
            <w:vAlign w:val="bottom"/>
            <w:hideMark/>
          </w:tcPr>
          <w:p w14:paraId="6130F2A6" w14:textId="77777777" w:rsidR="00952D90" w:rsidRPr="00C40599" w:rsidRDefault="00952D90" w:rsidP="00B72E89">
            <w:pPr>
              <w:rPr>
                <w:rFonts w:ascii="Calibri" w:eastAsia="Times New Roman" w:hAnsi="Calibri" w:cs="Times New Roman"/>
                <w:b/>
                <w:bCs/>
                <w:color w:val="000000"/>
                <w:sz w:val="22"/>
                <w:szCs w:val="22"/>
              </w:rPr>
            </w:pPr>
          </w:p>
        </w:tc>
        <w:tc>
          <w:tcPr>
            <w:tcW w:w="1759" w:type="dxa"/>
            <w:tcBorders>
              <w:top w:val="nil"/>
              <w:left w:val="nil"/>
              <w:bottom w:val="nil"/>
              <w:right w:val="nil"/>
            </w:tcBorders>
            <w:shd w:val="clear" w:color="auto" w:fill="auto"/>
            <w:noWrap/>
            <w:vAlign w:val="bottom"/>
            <w:hideMark/>
          </w:tcPr>
          <w:p w14:paraId="6130F2A7" w14:textId="77777777" w:rsidR="00952D90" w:rsidRDefault="00952D90" w:rsidP="00B72E89">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 Tindale Oliver </w:t>
            </w:r>
          </w:p>
          <w:p w14:paraId="6130F2A8" w14:textId="77777777" w:rsidR="00952D90" w:rsidRPr="00C40599" w:rsidRDefault="00952D90" w:rsidP="00B72E89">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Low Estimates </w:t>
            </w:r>
          </w:p>
        </w:tc>
        <w:tc>
          <w:tcPr>
            <w:tcW w:w="1760" w:type="dxa"/>
            <w:tcBorders>
              <w:top w:val="nil"/>
              <w:left w:val="nil"/>
              <w:bottom w:val="nil"/>
              <w:right w:val="nil"/>
            </w:tcBorders>
            <w:vAlign w:val="bottom"/>
          </w:tcPr>
          <w:p w14:paraId="6130F2A9" w14:textId="77777777" w:rsidR="00952D90" w:rsidRDefault="00952D90" w:rsidP="00B72E89">
            <w:pPr>
              <w:rPr>
                <w:rFonts w:ascii="Calibri" w:hAnsi="Calibri"/>
                <w:b/>
                <w:bCs/>
                <w:color w:val="000000"/>
                <w:sz w:val="22"/>
                <w:szCs w:val="22"/>
              </w:rPr>
            </w:pPr>
            <w:r>
              <w:rPr>
                <w:rFonts w:ascii="Calibri" w:hAnsi="Calibri"/>
                <w:b/>
                <w:bCs/>
                <w:color w:val="000000"/>
                <w:sz w:val="22"/>
                <w:szCs w:val="22"/>
              </w:rPr>
              <w:t xml:space="preserve"> Tindale Oliver </w:t>
            </w:r>
          </w:p>
          <w:p w14:paraId="6130F2AA" w14:textId="77777777" w:rsidR="00952D90" w:rsidRPr="00C40599" w:rsidRDefault="00952D90" w:rsidP="00B72E89">
            <w:pPr>
              <w:rPr>
                <w:rFonts w:ascii="Calibri" w:eastAsia="Times New Roman" w:hAnsi="Calibri" w:cs="Times New Roman"/>
                <w:b/>
                <w:bCs/>
                <w:color w:val="000000"/>
                <w:sz w:val="22"/>
                <w:szCs w:val="22"/>
              </w:rPr>
            </w:pPr>
            <w:r>
              <w:rPr>
                <w:rFonts w:ascii="Calibri" w:hAnsi="Calibri"/>
                <w:b/>
                <w:bCs/>
                <w:color w:val="000000"/>
                <w:sz w:val="22"/>
                <w:szCs w:val="22"/>
              </w:rPr>
              <w:t xml:space="preserve">High Estimates </w:t>
            </w:r>
          </w:p>
        </w:tc>
        <w:tc>
          <w:tcPr>
            <w:tcW w:w="1759" w:type="dxa"/>
            <w:tcBorders>
              <w:top w:val="nil"/>
              <w:left w:val="nil"/>
              <w:bottom w:val="nil"/>
              <w:right w:val="nil"/>
            </w:tcBorders>
            <w:vAlign w:val="bottom"/>
          </w:tcPr>
          <w:p w14:paraId="6130F2AB" w14:textId="77777777" w:rsidR="00952D90" w:rsidRDefault="00952D90" w:rsidP="00B72E89">
            <w:pPr>
              <w:rPr>
                <w:rFonts w:ascii="Calibri" w:hAnsi="Calibri"/>
                <w:b/>
                <w:bCs/>
                <w:color w:val="000000"/>
                <w:sz w:val="22"/>
                <w:szCs w:val="22"/>
              </w:rPr>
            </w:pPr>
            <w:r>
              <w:rPr>
                <w:rFonts w:ascii="Calibri" w:hAnsi="Calibri"/>
                <w:b/>
                <w:bCs/>
                <w:color w:val="000000"/>
                <w:sz w:val="22"/>
                <w:szCs w:val="22"/>
              </w:rPr>
              <w:t>Pilot Shuttle Costs</w:t>
            </w:r>
          </w:p>
        </w:tc>
        <w:tc>
          <w:tcPr>
            <w:tcW w:w="1742" w:type="dxa"/>
            <w:tcBorders>
              <w:top w:val="nil"/>
              <w:left w:val="nil"/>
              <w:bottom w:val="nil"/>
              <w:right w:val="nil"/>
            </w:tcBorders>
            <w:vAlign w:val="bottom"/>
          </w:tcPr>
          <w:p w14:paraId="6130F2AC" w14:textId="77777777" w:rsidR="00952D90" w:rsidRDefault="00952D90" w:rsidP="00B72E89">
            <w:pPr>
              <w:rPr>
                <w:rFonts w:ascii="Calibri" w:hAnsi="Calibri"/>
                <w:b/>
                <w:bCs/>
                <w:color w:val="000000"/>
                <w:sz w:val="22"/>
                <w:szCs w:val="22"/>
              </w:rPr>
            </w:pPr>
            <w:r>
              <w:rPr>
                <w:rFonts w:ascii="Calibri" w:hAnsi="Calibri"/>
                <w:b/>
                <w:bCs/>
                <w:color w:val="000000"/>
                <w:sz w:val="22"/>
                <w:szCs w:val="22"/>
              </w:rPr>
              <w:t>Shuttle w/ SGRC Admin Costs</w:t>
            </w:r>
          </w:p>
        </w:tc>
      </w:tr>
      <w:tr w:rsidR="00952D90" w:rsidRPr="00C40599" w14:paraId="6130F2B3" w14:textId="77777777" w:rsidTr="00F3393B">
        <w:trPr>
          <w:trHeight w:val="300"/>
        </w:trPr>
        <w:tc>
          <w:tcPr>
            <w:tcW w:w="2430" w:type="dxa"/>
            <w:tcBorders>
              <w:top w:val="nil"/>
              <w:left w:val="nil"/>
              <w:bottom w:val="nil"/>
              <w:right w:val="nil"/>
            </w:tcBorders>
            <w:shd w:val="clear" w:color="auto" w:fill="auto"/>
            <w:noWrap/>
            <w:vAlign w:val="bottom"/>
            <w:hideMark/>
          </w:tcPr>
          <w:p w14:paraId="6130F2AE"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Gross Benefits per Trip</w:t>
            </w:r>
          </w:p>
        </w:tc>
        <w:tc>
          <w:tcPr>
            <w:tcW w:w="1759" w:type="dxa"/>
            <w:tcBorders>
              <w:top w:val="nil"/>
              <w:left w:val="nil"/>
              <w:bottom w:val="nil"/>
              <w:right w:val="nil"/>
            </w:tcBorders>
            <w:shd w:val="clear" w:color="auto" w:fill="auto"/>
            <w:noWrap/>
            <w:vAlign w:val="center"/>
            <w:hideMark/>
          </w:tcPr>
          <w:p w14:paraId="6130F2AF" w14:textId="77777777" w:rsidR="00952D90" w:rsidRPr="00C40599" w:rsidRDefault="00952D90" w:rsidP="00B72E89">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27.19</w:t>
            </w:r>
          </w:p>
        </w:tc>
        <w:tc>
          <w:tcPr>
            <w:tcW w:w="1760" w:type="dxa"/>
            <w:tcBorders>
              <w:top w:val="nil"/>
              <w:left w:val="nil"/>
              <w:bottom w:val="nil"/>
              <w:right w:val="nil"/>
            </w:tcBorders>
            <w:vAlign w:val="center"/>
          </w:tcPr>
          <w:p w14:paraId="6130F2B0" w14:textId="77777777" w:rsidR="00952D90" w:rsidRPr="00C40599" w:rsidRDefault="00952D90" w:rsidP="00B72E89">
            <w:pPr>
              <w:rPr>
                <w:rFonts w:ascii="Calibri" w:eastAsia="Times New Roman" w:hAnsi="Calibri" w:cs="Times New Roman"/>
                <w:color w:val="000000"/>
                <w:sz w:val="22"/>
                <w:szCs w:val="22"/>
              </w:rPr>
            </w:pPr>
            <w:r>
              <w:rPr>
                <w:rFonts w:ascii="Calibri" w:hAnsi="Calibri"/>
                <w:color w:val="000000"/>
                <w:sz w:val="22"/>
                <w:szCs w:val="22"/>
              </w:rPr>
              <w:t>$                 27.00</w:t>
            </w:r>
          </w:p>
        </w:tc>
        <w:tc>
          <w:tcPr>
            <w:tcW w:w="1759" w:type="dxa"/>
            <w:tcBorders>
              <w:top w:val="nil"/>
              <w:left w:val="nil"/>
              <w:bottom w:val="nil"/>
              <w:right w:val="nil"/>
            </w:tcBorders>
            <w:vAlign w:val="center"/>
          </w:tcPr>
          <w:p w14:paraId="6130F2B1" w14:textId="77777777" w:rsidR="00952D90" w:rsidRDefault="00952D90" w:rsidP="00B72E89">
            <w:pPr>
              <w:rPr>
                <w:rFonts w:ascii="Calibri" w:hAnsi="Calibri"/>
                <w:color w:val="000000"/>
                <w:sz w:val="22"/>
                <w:szCs w:val="22"/>
              </w:rPr>
            </w:pPr>
            <w:r>
              <w:rPr>
                <w:rFonts w:ascii="Calibri" w:hAnsi="Calibri"/>
                <w:color w:val="000000"/>
                <w:sz w:val="22"/>
                <w:szCs w:val="22"/>
              </w:rPr>
              <w:t>$                  28.56</w:t>
            </w:r>
          </w:p>
        </w:tc>
        <w:tc>
          <w:tcPr>
            <w:tcW w:w="1742" w:type="dxa"/>
            <w:tcBorders>
              <w:top w:val="nil"/>
              <w:left w:val="nil"/>
              <w:bottom w:val="nil"/>
              <w:right w:val="nil"/>
            </w:tcBorders>
            <w:vAlign w:val="center"/>
          </w:tcPr>
          <w:p w14:paraId="6130F2B2" w14:textId="77777777" w:rsidR="00952D90" w:rsidRDefault="00952D90" w:rsidP="00B72E89">
            <w:pPr>
              <w:rPr>
                <w:rFonts w:ascii="Calibri" w:hAnsi="Calibri"/>
                <w:color w:val="000000"/>
                <w:sz w:val="22"/>
                <w:szCs w:val="22"/>
              </w:rPr>
            </w:pPr>
            <w:r>
              <w:rPr>
                <w:rFonts w:ascii="Calibri" w:hAnsi="Calibri"/>
                <w:color w:val="000000"/>
                <w:sz w:val="22"/>
                <w:szCs w:val="22"/>
              </w:rPr>
              <w:t>$                  28.56</w:t>
            </w:r>
          </w:p>
        </w:tc>
      </w:tr>
      <w:tr w:rsidR="00952D90" w:rsidRPr="00C40599" w14:paraId="6130F2B9" w14:textId="77777777" w:rsidTr="00F3393B">
        <w:trPr>
          <w:trHeight w:val="300"/>
        </w:trPr>
        <w:tc>
          <w:tcPr>
            <w:tcW w:w="2430" w:type="dxa"/>
            <w:tcBorders>
              <w:top w:val="nil"/>
              <w:left w:val="nil"/>
              <w:bottom w:val="nil"/>
              <w:right w:val="nil"/>
            </w:tcBorders>
            <w:shd w:val="clear" w:color="auto" w:fill="auto"/>
            <w:noWrap/>
            <w:vAlign w:val="bottom"/>
            <w:hideMark/>
          </w:tcPr>
          <w:p w14:paraId="6130F2B4"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Operating Costs per Trip</w:t>
            </w:r>
          </w:p>
        </w:tc>
        <w:tc>
          <w:tcPr>
            <w:tcW w:w="1759" w:type="dxa"/>
            <w:tcBorders>
              <w:top w:val="nil"/>
              <w:left w:val="nil"/>
              <w:bottom w:val="single" w:sz="4" w:space="0" w:color="auto"/>
              <w:right w:val="nil"/>
            </w:tcBorders>
            <w:shd w:val="clear" w:color="auto" w:fill="auto"/>
            <w:noWrap/>
            <w:vAlign w:val="center"/>
            <w:hideMark/>
          </w:tcPr>
          <w:p w14:paraId="6130F2B5" w14:textId="77777777" w:rsidR="00952D90" w:rsidRPr="00C40599" w:rsidRDefault="00952D90" w:rsidP="00B72E89">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22.78</w:t>
            </w:r>
          </w:p>
        </w:tc>
        <w:tc>
          <w:tcPr>
            <w:tcW w:w="1760" w:type="dxa"/>
            <w:tcBorders>
              <w:top w:val="nil"/>
              <w:left w:val="nil"/>
              <w:bottom w:val="single" w:sz="4" w:space="0" w:color="auto"/>
              <w:right w:val="nil"/>
            </w:tcBorders>
            <w:vAlign w:val="center"/>
          </w:tcPr>
          <w:p w14:paraId="6130F2B6" w14:textId="77777777" w:rsidR="00952D90" w:rsidRPr="00C40599" w:rsidRDefault="00952D90" w:rsidP="00B72E89">
            <w:pPr>
              <w:rPr>
                <w:rFonts w:ascii="Calibri" w:eastAsia="Times New Roman" w:hAnsi="Calibri" w:cs="Times New Roman"/>
                <w:color w:val="000000"/>
                <w:sz w:val="22"/>
                <w:szCs w:val="22"/>
              </w:rPr>
            </w:pPr>
            <w:r>
              <w:rPr>
                <w:rFonts w:ascii="Calibri" w:hAnsi="Calibri"/>
                <w:color w:val="000000"/>
                <w:sz w:val="22"/>
                <w:szCs w:val="22"/>
              </w:rPr>
              <w:t>$                   9.17</w:t>
            </w:r>
          </w:p>
        </w:tc>
        <w:tc>
          <w:tcPr>
            <w:tcW w:w="1759" w:type="dxa"/>
            <w:tcBorders>
              <w:top w:val="nil"/>
              <w:left w:val="nil"/>
              <w:bottom w:val="single" w:sz="4" w:space="0" w:color="auto"/>
              <w:right w:val="nil"/>
            </w:tcBorders>
            <w:vAlign w:val="center"/>
          </w:tcPr>
          <w:p w14:paraId="6130F2B7" w14:textId="77777777" w:rsidR="00952D90" w:rsidRDefault="00952D90" w:rsidP="00B72E89">
            <w:pPr>
              <w:rPr>
                <w:rFonts w:ascii="Calibri" w:hAnsi="Calibri"/>
                <w:color w:val="000000"/>
                <w:sz w:val="22"/>
                <w:szCs w:val="22"/>
              </w:rPr>
            </w:pPr>
            <w:r>
              <w:rPr>
                <w:rFonts w:ascii="Calibri" w:hAnsi="Calibri"/>
                <w:color w:val="000000"/>
                <w:sz w:val="22"/>
                <w:szCs w:val="22"/>
              </w:rPr>
              <w:t>$                  18.26</w:t>
            </w:r>
          </w:p>
        </w:tc>
        <w:tc>
          <w:tcPr>
            <w:tcW w:w="1742" w:type="dxa"/>
            <w:tcBorders>
              <w:top w:val="nil"/>
              <w:left w:val="nil"/>
              <w:bottom w:val="single" w:sz="4" w:space="0" w:color="auto"/>
              <w:right w:val="nil"/>
            </w:tcBorders>
            <w:vAlign w:val="center"/>
          </w:tcPr>
          <w:p w14:paraId="6130F2B8" w14:textId="77777777" w:rsidR="00952D90" w:rsidRDefault="00952D90" w:rsidP="00B72E89">
            <w:pPr>
              <w:rPr>
                <w:rFonts w:ascii="Calibri" w:hAnsi="Calibri"/>
                <w:color w:val="000000"/>
                <w:sz w:val="22"/>
                <w:szCs w:val="22"/>
              </w:rPr>
            </w:pPr>
            <w:r>
              <w:rPr>
                <w:rFonts w:ascii="Calibri" w:hAnsi="Calibri"/>
                <w:color w:val="000000"/>
                <w:sz w:val="22"/>
                <w:szCs w:val="22"/>
              </w:rPr>
              <w:t>$                  26.55</w:t>
            </w:r>
          </w:p>
        </w:tc>
      </w:tr>
      <w:tr w:rsidR="00952D90" w:rsidRPr="00C40599" w14:paraId="6130F2BF" w14:textId="77777777" w:rsidTr="00F3393B">
        <w:trPr>
          <w:trHeight w:val="300"/>
        </w:trPr>
        <w:tc>
          <w:tcPr>
            <w:tcW w:w="2430" w:type="dxa"/>
            <w:tcBorders>
              <w:top w:val="nil"/>
              <w:left w:val="nil"/>
              <w:bottom w:val="nil"/>
              <w:right w:val="nil"/>
            </w:tcBorders>
            <w:shd w:val="clear" w:color="auto" w:fill="auto"/>
            <w:noWrap/>
            <w:vAlign w:val="bottom"/>
            <w:hideMark/>
          </w:tcPr>
          <w:p w14:paraId="6130F2BA"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Net Benefits per Trip</w:t>
            </w:r>
          </w:p>
        </w:tc>
        <w:tc>
          <w:tcPr>
            <w:tcW w:w="1759" w:type="dxa"/>
            <w:tcBorders>
              <w:top w:val="nil"/>
              <w:left w:val="nil"/>
              <w:bottom w:val="nil"/>
              <w:right w:val="nil"/>
            </w:tcBorders>
            <w:shd w:val="clear" w:color="auto" w:fill="auto"/>
            <w:noWrap/>
            <w:vAlign w:val="center"/>
            <w:hideMark/>
          </w:tcPr>
          <w:p w14:paraId="6130F2BB" w14:textId="77777777" w:rsidR="00952D90" w:rsidRPr="00C40599" w:rsidRDefault="00952D90" w:rsidP="00B72E89">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     </w:t>
            </w:r>
            <w:r>
              <w:rPr>
                <w:rFonts w:ascii="Calibri" w:eastAsia="Times New Roman" w:hAnsi="Calibri" w:cs="Times New Roman"/>
                <w:b/>
                <w:bCs/>
                <w:color w:val="000000"/>
                <w:sz w:val="22"/>
                <w:szCs w:val="22"/>
              </w:rPr>
              <w:t xml:space="preserve">               </w:t>
            </w:r>
            <w:r w:rsidRPr="00C40599">
              <w:rPr>
                <w:rFonts w:ascii="Calibri" w:eastAsia="Times New Roman" w:hAnsi="Calibri" w:cs="Times New Roman"/>
                <w:b/>
                <w:bCs/>
                <w:color w:val="000000"/>
                <w:sz w:val="22"/>
                <w:szCs w:val="22"/>
              </w:rPr>
              <w:t>4.</w:t>
            </w:r>
            <w:r>
              <w:rPr>
                <w:rFonts w:ascii="Calibri" w:eastAsia="Times New Roman" w:hAnsi="Calibri" w:cs="Times New Roman"/>
                <w:b/>
                <w:bCs/>
                <w:color w:val="000000"/>
                <w:sz w:val="22"/>
                <w:szCs w:val="22"/>
              </w:rPr>
              <w:t>41</w:t>
            </w:r>
          </w:p>
        </w:tc>
        <w:tc>
          <w:tcPr>
            <w:tcW w:w="1760" w:type="dxa"/>
            <w:tcBorders>
              <w:top w:val="nil"/>
              <w:left w:val="nil"/>
              <w:bottom w:val="nil"/>
              <w:right w:val="nil"/>
            </w:tcBorders>
            <w:vAlign w:val="center"/>
          </w:tcPr>
          <w:p w14:paraId="6130F2BC" w14:textId="77777777" w:rsidR="00952D90" w:rsidRPr="00C40599" w:rsidRDefault="00952D90" w:rsidP="00B72E89">
            <w:pPr>
              <w:rPr>
                <w:rFonts w:ascii="Calibri" w:eastAsia="Times New Roman" w:hAnsi="Calibri" w:cs="Times New Roman"/>
                <w:b/>
                <w:bCs/>
                <w:color w:val="000000"/>
                <w:sz w:val="22"/>
                <w:szCs w:val="22"/>
              </w:rPr>
            </w:pPr>
            <w:r>
              <w:rPr>
                <w:rFonts w:ascii="Calibri" w:hAnsi="Calibri"/>
                <w:b/>
                <w:bCs/>
                <w:color w:val="000000"/>
                <w:sz w:val="22"/>
                <w:szCs w:val="22"/>
              </w:rPr>
              <w:t>$                 17.83</w:t>
            </w:r>
          </w:p>
        </w:tc>
        <w:tc>
          <w:tcPr>
            <w:tcW w:w="1759" w:type="dxa"/>
            <w:tcBorders>
              <w:top w:val="nil"/>
              <w:left w:val="nil"/>
              <w:bottom w:val="nil"/>
              <w:right w:val="nil"/>
            </w:tcBorders>
            <w:vAlign w:val="center"/>
          </w:tcPr>
          <w:p w14:paraId="6130F2BD" w14:textId="77777777" w:rsidR="00952D90" w:rsidRDefault="00952D90" w:rsidP="00B72E89">
            <w:pPr>
              <w:rPr>
                <w:rFonts w:ascii="Calibri" w:hAnsi="Calibri"/>
                <w:b/>
                <w:bCs/>
                <w:color w:val="000000"/>
                <w:sz w:val="22"/>
                <w:szCs w:val="22"/>
              </w:rPr>
            </w:pPr>
            <w:r>
              <w:rPr>
                <w:rFonts w:ascii="Calibri" w:hAnsi="Calibri"/>
                <w:b/>
                <w:bCs/>
                <w:color w:val="000000"/>
                <w:sz w:val="22"/>
                <w:szCs w:val="22"/>
              </w:rPr>
              <w:t>$                  10.30</w:t>
            </w:r>
          </w:p>
        </w:tc>
        <w:tc>
          <w:tcPr>
            <w:tcW w:w="1742" w:type="dxa"/>
            <w:tcBorders>
              <w:top w:val="nil"/>
              <w:left w:val="nil"/>
              <w:bottom w:val="nil"/>
              <w:right w:val="nil"/>
            </w:tcBorders>
            <w:vAlign w:val="center"/>
          </w:tcPr>
          <w:p w14:paraId="6130F2BE" w14:textId="77777777" w:rsidR="00952D90" w:rsidRDefault="00952D90" w:rsidP="00B72E89">
            <w:pPr>
              <w:rPr>
                <w:rFonts w:ascii="Calibri" w:hAnsi="Calibri"/>
                <w:b/>
                <w:bCs/>
                <w:color w:val="000000"/>
                <w:sz w:val="22"/>
                <w:szCs w:val="22"/>
              </w:rPr>
            </w:pPr>
            <w:r>
              <w:rPr>
                <w:rFonts w:ascii="Calibri" w:hAnsi="Calibri"/>
                <w:b/>
                <w:bCs/>
                <w:color w:val="000000"/>
                <w:sz w:val="22"/>
                <w:szCs w:val="22"/>
              </w:rPr>
              <w:t>$                    2.01</w:t>
            </w:r>
          </w:p>
        </w:tc>
      </w:tr>
      <w:tr w:rsidR="00952D90" w:rsidRPr="00C40599" w14:paraId="6130F2C5" w14:textId="77777777" w:rsidTr="00F3393B">
        <w:trPr>
          <w:trHeight w:val="300"/>
        </w:trPr>
        <w:tc>
          <w:tcPr>
            <w:tcW w:w="2430" w:type="dxa"/>
            <w:tcBorders>
              <w:top w:val="nil"/>
              <w:left w:val="nil"/>
              <w:bottom w:val="nil"/>
              <w:right w:val="nil"/>
            </w:tcBorders>
            <w:shd w:val="clear" w:color="auto" w:fill="auto"/>
            <w:noWrap/>
            <w:vAlign w:val="bottom"/>
            <w:hideMark/>
          </w:tcPr>
          <w:p w14:paraId="6130F2C0"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Total Benefits </w:t>
            </w:r>
          </w:p>
        </w:tc>
        <w:tc>
          <w:tcPr>
            <w:tcW w:w="1759" w:type="dxa"/>
            <w:tcBorders>
              <w:top w:val="nil"/>
              <w:left w:val="nil"/>
              <w:bottom w:val="nil"/>
              <w:right w:val="nil"/>
            </w:tcBorders>
            <w:shd w:val="clear" w:color="auto" w:fill="auto"/>
            <w:noWrap/>
            <w:vAlign w:val="center"/>
            <w:hideMark/>
          </w:tcPr>
          <w:p w14:paraId="6130F2C1"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5</w:t>
            </w:r>
            <w:r>
              <w:rPr>
                <w:rFonts w:ascii="Calibri" w:eastAsia="Times New Roman" w:hAnsi="Calibri" w:cs="Times New Roman"/>
                <w:color w:val="000000"/>
                <w:sz w:val="22"/>
                <w:szCs w:val="22"/>
              </w:rPr>
              <w:t>80</w:t>
            </w:r>
            <w:r w:rsidRPr="00C40599">
              <w:rPr>
                <w:rFonts w:ascii="Calibri" w:eastAsia="Times New Roman" w:hAnsi="Calibri" w:cs="Times New Roman"/>
                <w:color w:val="000000"/>
                <w:sz w:val="22"/>
                <w:szCs w:val="22"/>
              </w:rPr>
              <w:t>,</w:t>
            </w:r>
            <w:r>
              <w:rPr>
                <w:rFonts w:ascii="Calibri" w:eastAsia="Times New Roman" w:hAnsi="Calibri" w:cs="Times New Roman"/>
                <w:color w:val="000000"/>
                <w:sz w:val="22"/>
                <w:szCs w:val="22"/>
              </w:rPr>
              <w:t>606</w:t>
            </w:r>
            <w:r w:rsidRPr="00C40599">
              <w:rPr>
                <w:rFonts w:ascii="Calibri" w:eastAsia="Times New Roman" w:hAnsi="Calibri" w:cs="Times New Roman"/>
                <w:color w:val="000000"/>
                <w:sz w:val="22"/>
                <w:szCs w:val="22"/>
              </w:rPr>
              <w:t>.</w:t>
            </w:r>
            <w:r>
              <w:rPr>
                <w:rFonts w:ascii="Calibri" w:eastAsia="Times New Roman" w:hAnsi="Calibri" w:cs="Times New Roman"/>
                <w:color w:val="000000"/>
                <w:sz w:val="22"/>
                <w:szCs w:val="22"/>
              </w:rPr>
              <w:t>67</w:t>
            </w:r>
          </w:p>
        </w:tc>
        <w:tc>
          <w:tcPr>
            <w:tcW w:w="1760" w:type="dxa"/>
            <w:tcBorders>
              <w:top w:val="nil"/>
              <w:left w:val="nil"/>
              <w:bottom w:val="nil"/>
              <w:right w:val="nil"/>
            </w:tcBorders>
            <w:vAlign w:val="center"/>
          </w:tcPr>
          <w:p w14:paraId="6130F2C2" w14:textId="77777777" w:rsidR="00952D90" w:rsidRPr="00C40599" w:rsidRDefault="00952D90" w:rsidP="00B72E89">
            <w:pPr>
              <w:rPr>
                <w:rFonts w:ascii="Calibri" w:eastAsia="Times New Roman" w:hAnsi="Calibri" w:cs="Times New Roman"/>
                <w:color w:val="000000"/>
                <w:sz w:val="22"/>
                <w:szCs w:val="22"/>
              </w:rPr>
            </w:pPr>
            <w:r>
              <w:rPr>
                <w:rFonts w:ascii="Calibri" w:hAnsi="Calibri"/>
                <w:color w:val="000000"/>
                <w:sz w:val="22"/>
                <w:szCs w:val="22"/>
              </w:rPr>
              <w:t>$   1,649,395.08</w:t>
            </w:r>
          </w:p>
        </w:tc>
        <w:tc>
          <w:tcPr>
            <w:tcW w:w="1759" w:type="dxa"/>
            <w:tcBorders>
              <w:top w:val="nil"/>
              <w:left w:val="nil"/>
              <w:bottom w:val="nil"/>
              <w:right w:val="nil"/>
            </w:tcBorders>
            <w:vAlign w:val="center"/>
          </w:tcPr>
          <w:p w14:paraId="6130F2C3" w14:textId="77777777" w:rsidR="00952D90" w:rsidRDefault="00952D90" w:rsidP="00B72E89">
            <w:pPr>
              <w:rPr>
                <w:rFonts w:ascii="Calibri" w:hAnsi="Calibri"/>
                <w:color w:val="000000"/>
                <w:sz w:val="22"/>
                <w:szCs w:val="22"/>
              </w:rPr>
            </w:pPr>
            <w:r>
              <w:rPr>
                <w:rFonts w:ascii="Calibri" w:hAnsi="Calibri"/>
                <w:color w:val="000000"/>
                <w:sz w:val="22"/>
                <w:szCs w:val="22"/>
              </w:rPr>
              <w:t>$        270,515.33</w:t>
            </w:r>
          </w:p>
        </w:tc>
        <w:tc>
          <w:tcPr>
            <w:tcW w:w="1742" w:type="dxa"/>
            <w:tcBorders>
              <w:top w:val="nil"/>
              <w:left w:val="nil"/>
              <w:bottom w:val="nil"/>
              <w:right w:val="nil"/>
            </w:tcBorders>
            <w:vAlign w:val="center"/>
          </w:tcPr>
          <w:p w14:paraId="6130F2C4" w14:textId="77777777" w:rsidR="00952D90" w:rsidRDefault="00952D90" w:rsidP="00B72E89">
            <w:pPr>
              <w:rPr>
                <w:rFonts w:ascii="Calibri" w:hAnsi="Calibri"/>
                <w:color w:val="000000"/>
                <w:sz w:val="22"/>
                <w:szCs w:val="22"/>
              </w:rPr>
            </w:pPr>
            <w:r>
              <w:rPr>
                <w:rFonts w:ascii="Calibri" w:hAnsi="Calibri"/>
                <w:color w:val="000000"/>
                <w:sz w:val="22"/>
                <w:szCs w:val="22"/>
              </w:rPr>
              <w:t>$        270,515.33</w:t>
            </w:r>
          </w:p>
        </w:tc>
      </w:tr>
      <w:tr w:rsidR="00952D90" w:rsidRPr="00C40599" w14:paraId="6130F2CB" w14:textId="77777777" w:rsidTr="00F3393B">
        <w:trPr>
          <w:trHeight w:val="300"/>
        </w:trPr>
        <w:tc>
          <w:tcPr>
            <w:tcW w:w="2430" w:type="dxa"/>
            <w:tcBorders>
              <w:top w:val="nil"/>
              <w:left w:val="nil"/>
              <w:bottom w:val="nil"/>
              <w:right w:val="nil"/>
            </w:tcBorders>
            <w:shd w:val="clear" w:color="auto" w:fill="auto"/>
            <w:noWrap/>
            <w:vAlign w:val="bottom"/>
            <w:hideMark/>
          </w:tcPr>
          <w:p w14:paraId="6130F2C6"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Operating Costs</w:t>
            </w:r>
          </w:p>
        </w:tc>
        <w:tc>
          <w:tcPr>
            <w:tcW w:w="1759" w:type="dxa"/>
            <w:tcBorders>
              <w:top w:val="nil"/>
              <w:left w:val="nil"/>
              <w:bottom w:val="nil"/>
              <w:right w:val="nil"/>
            </w:tcBorders>
            <w:shd w:val="clear" w:color="auto" w:fill="auto"/>
            <w:noWrap/>
            <w:vAlign w:val="center"/>
            <w:hideMark/>
          </w:tcPr>
          <w:p w14:paraId="6130F2C7" w14:textId="77777777" w:rsidR="00952D90" w:rsidRPr="00C40599" w:rsidRDefault="00952D90" w:rsidP="00B72E89">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720,000.00</w:t>
            </w:r>
          </w:p>
        </w:tc>
        <w:tc>
          <w:tcPr>
            <w:tcW w:w="1760" w:type="dxa"/>
            <w:tcBorders>
              <w:top w:val="nil"/>
              <w:left w:val="nil"/>
              <w:bottom w:val="nil"/>
              <w:right w:val="nil"/>
            </w:tcBorders>
            <w:vAlign w:val="center"/>
          </w:tcPr>
          <w:p w14:paraId="6130F2C8" w14:textId="77777777" w:rsidR="00952D90" w:rsidRPr="00C40599" w:rsidRDefault="00952D90" w:rsidP="00B72E89">
            <w:pPr>
              <w:rPr>
                <w:rFonts w:ascii="Calibri" w:eastAsia="Times New Roman" w:hAnsi="Calibri" w:cs="Times New Roman"/>
                <w:color w:val="000000"/>
                <w:sz w:val="22"/>
                <w:szCs w:val="22"/>
              </w:rPr>
            </w:pPr>
            <w:r>
              <w:rPr>
                <w:rFonts w:ascii="Calibri" w:hAnsi="Calibri"/>
                <w:color w:val="000000"/>
                <w:sz w:val="22"/>
                <w:szCs w:val="22"/>
              </w:rPr>
              <w:t>$       820,000.00</w:t>
            </w:r>
          </w:p>
        </w:tc>
        <w:tc>
          <w:tcPr>
            <w:tcW w:w="1759" w:type="dxa"/>
            <w:tcBorders>
              <w:top w:val="nil"/>
              <w:left w:val="nil"/>
              <w:bottom w:val="nil"/>
              <w:right w:val="nil"/>
            </w:tcBorders>
            <w:vAlign w:val="center"/>
          </w:tcPr>
          <w:p w14:paraId="6130F2C9" w14:textId="77777777" w:rsidR="00952D90" w:rsidRDefault="00952D90" w:rsidP="00B72E89">
            <w:pPr>
              <w:rPr>
                <w:rFonts w:ascii="Calibri" w:hAnsi="Calibri"/>
                <w:color w:val="000000"/>
                <w:sz w:val="22"/>
                <w:szCs w:val="22"/>
              </w:rPr>
            </w:pPr>
            <w:r>
              <w:rPr>
                <w:rFonts w:ascii="Calibri" w:hAnsi="Calibri"/>
                <w:color w:val="000000"/>
                <w:sz w:val="22"/>
                <w:szCs w:val="22"/>
              </w:rPr>
              <w:t>$        268,898.00</w:t>
            </w:r>
          </w:p>
        </w:tc>
        <w:tc>
          <w:tcPr>
            <w:tcW w:w="1742" w:type="dxa"/>
            <w:tcBorders>
              <w:top w:val="nil"/>
              <w:left w:val="nil"/>
              <w:bottom w:val="nil"/>
              <w:right w:val="nil"/>
            </w:tcBorders>
            <w:vAlign w:val="center"/>
          </w:tcPr>
          <w:p w14:paraId="6130F2CA" w14:textId="77777777" w:rsidR="00952D90" w:rsidRDefault="00952D90" w:rsidP="00B72E89">
            <w:pPr>
              <w:rPr>
                <w:rFonts w:ascii="Calibri" w:hAnsi="Calibri"/>
                <w:color w:val="000000"/>
                <w:sz w:val="22"/>
                <w:szCs w:val="22"/>
              </w:rPr>
            </w:pPr>
            <w:r>
              <w:rPr>
                <w:rFonts w:ascii="Calibri" w:hAnsi="Calibri"/>
                <w:color w:val="000000"/>
                <w:sz w:val="22"/>
                <w:szCs w:val="22"/>
              </w:rPr>
              <w:t>$        390,912.00</w:t>
            </w:r>
          </w:p>
        </w:tc>
      </w:tr>
      <w:tr w:rsidR="00952D90" w:rsidRPr="00C40599" w14:paraId="6130F2D1" w14:textId="77777777" w:rsidTr="00F3393B">
        <w:trPr>
          <w:trHeight w:val="300"/>
        </w:trPr>
        <w:tc>
          <w:tcPr>
            <w:tcW w:w="2430" w:type="dxa"/>
            <w:tcBorders>
              <w:top w:val="nil"/>
              <w:left w:val="nil"/>
              <w:bottom w:val="nil"/>
              <w:right w:val="nil"/>
            </w:tcBorders>
            <w:shd w:val="clear" w:color="auto" w:fill="auto"/>
            <w:noWrap/>
            <w:vAlign w:val="bottom"/>
            <w:hideMark/>
          </w:tcPr>
          <w:p w14:paraId="6130F2CC" w14:textId="77777777" w:rsidR="00952D90" w:rsidRPr="00C40599" w:rsidRDefault="00952D90" w:rsidP="00B72E89">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Benefit to cost ratio</w:t>
            </w:r>
          </w:p>
        </w:tc>
        <w:tc>
          <w:tcPr>
            <w:tcW w:w="1759" w:type="dxa"/>
            <w:tcBorders>
              <w:top w:val="nil"/>
              <w:left w:val="nil"/>
              <w:bottom w:val="nil"/>
              <w:right w:val="nil"/>
            </w:tcBorders>
            <w:shd w:val="clear" w:color="auto" w:fill="auto"/>
            <w:noWrap/>
            <w:vAlign w:val="center"/>
            <w:hideMark/>
          </w:tcPr>
          <w:p w14:paraId="6130F2CD" w14:textId="77777777" w:rsidR="00952D90" w:rsidRPr="00C40599" w:rsidRDefault="00952D90" w:rsidP="00B72E89">
            <w:pPr>
              <w:jc w:val="right"/>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0.8</w:t>
            </w:r>
            <w:r>
              <w:rPr>
                <w:rFonts w:ascii="Calibri" w:eastAsia="Times New Roman" w:hAnsi="Calibri" w:cs="Times New Roman"/>
                <w:color w:val="000000"/>
                <w:sz w:val="22"/>
                <w:szCs w:val="22"/>
              </w:rPr>
              <w:t>1</w:t>
            </w:r>
          </w:p>
        </w:tc>
        <w:tc>
          <w:tcPr>
            <w:tcW w:w="1760" w:type="dxa"/>
            <w:tcBorders>
              <w:top w:val="nil"/>
              <w:left w:val="nil"/>
              <w:bottom w:val="nil"/>
              <w:right w:val="nil"/>
            </w:tcBorders>
            <w:vAlign w:val="center"/>
          </w:tcPr>
          <w:p w14:paraId="6130F2CE" w14:textId="77777777" w:rsidR="00952D90" w:rsidRPr="00C40599" w:rsidRDefault="00952D90" w:rsidP="00B72E89">
            <w:pPr>
              <w:jc w:val="right"/>
              <w:rPr>
                <w:rFonts w:ascii="Calibri" w:eastAsia="Times New Roman" w:hAnsi="Calibri" w:cs="Times New Roman"/>
                <w:color w:val="000000"/>
                <w:sz w:val="22"/>
                <w:szCs w:val="22"/>
              </w:rPr>
            </w:pPr>
            <w:r>
              <w:rPr>
                <w:rFonts w:ascii="Calibri" w:hAnsi="Calibri"/>
                <w:color w:val="000000"/>
                <w:sz w:val="22"/>
                <w:szCs w:val="22"/>
              </w:rPr>
              <w:t>2.01</w:t>
            </w:r>
          </w:p>
        </w:tc>
        <w:tc>
          <w:tcPr>
            <w:tcW w:w="1759" w:type="dxa"/>
            <w:tcBorders>
              <w:top w:val="nil"/>
              <w:left w:val="nil"/>
              <w:bottom w:val="nil"/>
              <w:right w:val="nil"/>
            </w:tcBorders>
            <w:vAlign w:val="center"/>
          </w:tcPr>
          <w:p w14:paraId="6130F2CF" w14:textId="77777777" w:rsidR="00952D90" w:rsidRDefault="00952D90" w:rsidP="00B72E89">
            <w:pPr>
              <w:jc w:val="right"/>
              <w:rPr>
                <w:rFonts w:ascii="Calibri" w:hAnsi="Calibri"/>
                <w:color w:val="000000"/>
                <w:sz w:val="22"/>
                <w:szCs w:val="22"/>
              </w:rPr>
            </w:pPr>
            <w:r>
              <w:rPr>
                <w:rFonts w:ascii="Calibri" w:hAnsi="Calibri"/>
                <w:color w:val="000000"/>
                <w:sz w:val="22"/>
                <w:szCs w:val="22"/>
              </w:rPr>
              <w:t>1.01</w:t>
            </w:r>
          </w:p>
        </w:tc>
        <w:tc>
          <w:tcPr>
            <w:tcW w:w="1742" w:type="dxa"/>
            <w:tcBorders>
              <w:top w:val="nil"/>
              <w:left w:val="nil"/>
              <w:bottom w:val="nil"/>
              <w:right w:val="nil"/>
            </w:tcBorders>
            <w:vAlign w:val="center"/>
          </w:tcPr>
          <w:p w14:paraId="6130F2D0" w14:textId="77777777" w:rsidR="00952D90" w:rsidRDefault="00952D90" w:rsidP="00B72E89">
            <w:pPr>
              <w:jc w:val="right"/>
              <w:rPr>
                <w:rFonts w:ascii="Calibri" w:hAnsi="Calibri"/>
                <w:color w:val="000000"/>
                <w:sz w:val="22"/>
                <w:szCs w:val="22"/>
              </w:rPr>
            </w:pPr>
            <w:r>
              <w:rPr>
                <w:rFonts w:ascii="Calibri" w:hAnsi="Calibri"/>
                <w:color w:val="000000"/>
                <w:sz w:val="22"/>
                <w:szCs w:val="22"/>
              </w:rPr>
              <w:t>0.69</w:t>
            </w:r>
          </w:p>
        </w:tc>
      </w:tr>
    </w:tbl>
    <w:p w14:paraId="6130F2D2" w14:textId="77777777" w:rsidR="005A6475" w:rsidRDefault="005A6475" w:rsidP="00F20795">
      <w:pPr>
        <w:spacing w:after="200"/>
        <w:jc w:val="both"/>
        <w:rPr>
          <w:rFonts w:asciiTheme="minorHAnsi" w:hAnsiTheme="minorHAnsi"/>
          <w:szCs w:val="22"/>
        </w:rPr>
      </w:pPr>
    </w:p>
    <w:p w14:paraId="6130F2D3" w14:textId="77777777" w:rsidR="00FE22CF" w:rsidRDefault="00FE22CF" w:rsidP="00F20795">
      <w:pPr>
        <w:spacing w:after="200"/>
        <w:jc w:val="both"/>
        <w:rPr>
          <w:rFonts w:asciiTheme="minorHAnsi" w:hAnsiTheme="minorHAnsi"/>
          <w:szCs w:val="22"/>
        </w:rPr>
      </w:pPr>
      <w:r w:rsidRPr="00FE22CF">
        <w:rPr>
          <w:rFonts w:asciiTheme="minorHAnsi" w:hAnsiTheme="minorHAnsi"/>
          <w:szCs w:val="22"/>
        </w:rPr>
        <w:t>Estimating the benefits of public transit first requires an estimate of how transit riders would respond if transit service was not available. Estimates must be made for the percentage of riders who would drive themselves, get a ride from someone else, use a taxi, walk or bike, or forego the trip.</w:t>
      </w:r>
      <w:r w:rsidRPr="00FE22CF">
        <w:rPr>
          <w:szCs w:val="22"/>
        </w:rPr>
        <w:t xml:space="preserve"> </w:t>
      </w:r>
      <w:r w:rsidRPr="00FE22CF">
        <w:rPr>
          <w:rFonts w:asciiTheme="minorHAnsi" w:hAnsiTheme="minorHAnsi"/>
          <w:szCs w:val="22"/>
        </w:rPr>
        <w:t>This report uses results from previously conducted surveys of transit riders to predict the behavior of transit users in the absence of transit</w:t>
      </w:r>
      <w:r w:rsidR="00F763B6">
        <w:rPr>
          <w:rFonts w:asciiTheme="minorHAnsi" w:hAnsiTheme="minorHAnsi"/>
          <w:szCs w:val="22"/>
        </w:rPr>
        <w:t xml:space="preserve"> for small urban areas</w:t>
      </w:r>
      <w:r w:rsidRPr="00FE22CF">
        <w:rPr>
          <w:rFonts w:asciiTheme="minorHAnsi" w:hAnsiTheme="minorHAnsi"/>
          <w:szCs w:val="22"/>
        </w:rPr>
        <w:t>.</w:t>
      </w:r>
    </w:p>
    <w:p w14:paraId="6130F2D4" w14:textId="77777777" w:rsidR="007B35EE" w:rsidRDefault="00F763B6" w:rsidP="007B35EE">
      <w:pPr>
        <w:keepNext/>
        <w:spacing w:after="200" w:line="276" w:lineRule="auto"/>
        <w:jc w:val="center"/>
      </w:pPr>
      <w:r>
        <w:rPr>
          <w:noProof/>
        </w:rPr>
        <w:lastRenderedPageBreak/>
        <w:drawing>
          <wp:inline distT="0" distB="0" distL="0" distR="0" wp14:anchorId="6130F5AA" wp14:editId="6130F5AB">
            <wp:extent cx="5390985" cy="4079019"/>
            <wp:effectExtent l="0" t="0" r="635" b="171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130F2D5" w14:textId="77777777" w:rsidR="00F763B6" w:rsidRDefault="007B35EE" w:rsidP="007B35EE">
      <w:pPr>
        <w:pStyle w:val="Caption"/>
        <w:jc w:val="center"/>
        <w:rPr>
          <w:rFonts w:asciiTheme="minorHAnsi" w:hAnsiTheme="minorHAnsi"/>
          <w:szCs w:val="22"/>
        </w:rPr>
      </w:pPr>
      <w:r>
        <w:t xml:space="preserve">Figure </w:t>
      </w:r>
      <w:fldSimple w:instr=" SEQ Figure \* ARABIC ">
        <w:r w:rsidR="003D3632">
          <w:rPr>
            <w:noProof/>
          </w:rPr>
          <w:t>13</w:t>
        </w:r>
      </w:fldSimple>
      <w:r>
        <w:t xml:space="preserve"> Rider Behavior in the Absence of Transit Options</w:t>
      </w:r>
    </w:p>
    <w:p w14:paraId="6130F2D6" w14:textId="77777777" w:rsidR="00F763B6" w:rsidRPr="003F0150" w:rsidRDefault="00F763B6" w:rsidP="00F20795">
      <w:pPr>
        <w:spacing w:after="200"/>
        <w:jc w:val="both"/>
        <w:rPr>
          <w:rFonts w:asciiTheme="minorHAnsi" w:hAnsiTheme="minorHAnsi"/>
          <w:sz w:val="28"/>
          <w:szCs w:val="22"/>
        </w:rPr>
      </w:pPr>
      <w:r w:rsidRPr="003F0150">
        <w:rPr>
          <w:rFonts w:asciiTheme="minorHAnsi" w:hAnsiTheme="minorHAnsi"/>
          <w:szCs w:val="22"/>
        </w:rPr>
        <w:t xml:space="preserve">The transit benefits in small urban and rural communities are primarily categorized as transportation cost saving benefits, low-cost mobility benefits, and economic impact benefits. If transit is not provided in a community, then transit riders would have to either use a different mode or forego the trip. Transportation cost savings are the savings that result when individuals are able to use transit in place of another mode, and affordable mobility benefits are the benefits that result when trips are made that would otherwise be foregone in the absence of transit. Economic benefits </w:t>
      </w:r>
      <w:r w:rsidR="006420F8">
        <w:rPr>
          <w:rFonts w:asciiTheme="minorHAnsi" w:hAnsiTheme="minorHAnsi"/>
          <w:szCs w:val="22"/>
        </w:rPr>
        <w:t xml:space="preserve">(direct, indirect, and induced) </w:t>
      </w:r>
      <w:r w:rsidRPr="003F0150">
        <w:rPr>
          <w:rFonts w:asciiTheme="minorHAnsi" w:hAnsiTheme="minorHAnsi"/>
          <w:szCs w:val="22"/>
        </w:rPr>
        <w:t>result from the economic activity generated by transit operations.</w:t>
      </w:r>
      <w:r w:rsidR="003F0150" w:rsidRPr="003F0150">
        <w:rPr>
          <w:rFonts w:asciiTheme="minorHAnsi" w:hAnsiTheme="minorHAnsi"/>
          <w:szCs w:val="22"/>
        </w:rPr>
        <w:t xml:space="preserve"> </w:t>
      </w:r>
      <w:r w:rsidR="006420F8" w:rsidRPr="006420F8">
        <w:rPr>
          <w:rFonts w:asciiTheme="minorHAnsi" w:hAnsiTheme="minorHAnsi"/>
          <w:szCs w:val="22"/>
        </w:rPr>
        <w:t xml:space="preserve">The economic impacts of transit operations were not included within the </w:t>
      </w:r>
      <w:r w:rsidR="00037E65">
        <w:rPr>
          <w:rFonts w:asciiTheme="minorHAnsi" w:hAnsiTheme="minorHAnsi"/>
          <w:szCs w:val="22"/>
        </w:rPr>
        <w:t>cost-benefit</w:t>
      </w:r>
      <w:r w:rsidR="006420F8" w:rsidRPr="006420F8">
        <w:rPr>
          <w:rFonts w:asciiTheme="minorHAnsi" w:hAnsiTheme="minorHAnsi"/>
          <w:szCs w:val="22"/>
        </w:rPr>
        <w:t xml:space="preserve"> ratio estimation</w:t>
      </w:r>
      <w:r w:rsidR="006420F8">
        <w:rPr>
          <w:sz w:val="22"/>
          <w:szCs w:val="22"/>
        </w:rPr>
        <w:t xml:space="preserve">. </w:t>
      </w:r>
      <w:r w:rsidR="003F0150" w:rsidRPr="003F0150">
        <w:rPr>
          <w:rFonts w:asciiTheme="minorHAnsi" w:hAnsiTheme="minorHAnsi"/>
          <w:szCs w:val="22"/>
        </w:rPr>
        <w:t xml:space="preserve">This report focuses on the transportation cost savings </w:t>
      </w:r>
      <w:r w:rsidR="006420F8">
        <w:rPr>
          <w:rFonts w:asciiTheme="minorHAnsi" w:hAnsiTheme="minorHAnsi"/>
          <w:szCs w:val="22"/>
        </w:rPr>
        <w:t xml:space="preserve">and low-cost mobility benefits </w:t>
      </w:r>
      <w:r w:rsidR="003F0150">
        <w:rPr>
          <w:rFonts w:asciiTheme="minorHAnsi" w:hAnsiTheme="minorHAnsi"/>
          <w:szCs w:val="22"/>
        </w:rPr>
        <w:t>under the proposed permanent transit system by Tindale Oliver.</w:t>
      </w:r>
    </w:p>
    <w:p w14:paraId="6130F2D7" w14:textId="77777777" w:rsidR="003F0150" w:rsidRDefault="003F0150" w:rsidP="007D1E3A">
      <w:pPr>
        <w:pStyle w:val="Heading2"/>
      </w:pPr>
      <w:bookmarkStart w:id="6" w:name="_Toc477860552"/>
      <w:r>
        <w:t>Transportation Cost Savings</w:t>
      </w:r>
      <w:bookmarkEnd w:id="6"/>
    </w:p>
    <w:p w14:paraId="6130F2D8" w14:textId="77777777" w:rsidR="003F0150" w:rsidRDefault="003F0150" w:rsidP="003F0150"/>
    <w:p w14:paraId="6130F2D9" w14:textId="77777777" w:rsidR="003F0150" w:rsidRPr="00854619" w:rsidRDefault="003F0150" w:rsidP="00F20795">
      <w:pPr>
        <w:jc w:val="both"/>
        <w:rPr>
          <w:rFonts w:asciiTheme="minorHAnsi" w:hAnsiTheme="minorHAnsi"/>
        </w:rPr>
      </w:pPr>
      <w:r w:rsidRPr="00854619">
        <w:rPr>
          <w:rFonts w:asciiTheme="minorHAnsi" w:hAnsiTheme="minorHAnsi"/>
        </w:rPr>
        <w:t xml:space="preserve">Transportation cost savings were calculated for </w:t>
      </w:r>
      <w:r w:rsidR="00044197" w:rsidRPr="00854619">
        <w:rPr>
          <w:rFonts w:asciiTheme="minorHAnsi" w:hAnsiTheme="minorHAnsi"/>
        </w:rPr>
        <w:t>vehicle ownership and operating costs, chauffeured costs of riding with someone, taxi fare costs, and bicycling or walking. These costs were compared to that of using public transit to calculate the transportation cost saving benefits.</w:t>
      </w:r>
    </w:p>
    <w:p w14:paraId="6130F2DA" w14:textId="77777777" w:rsidR="003F0150" w:rsidRDefault="003F0150" w:rsidP="003F0150"/>
    <w:p w14:paraId="6130F2DB" w14:textId="77777777" w:rsidR="00863AB5" w:rsidRDefault="00863AB5" w:rsidP="003F0150"/>
    <w:p w14:paraId="6130F2DC" w14:textId="77777777" w:rsidR="002113AC" w:rsidRDefault="002113AC">
      <w:pPr>
        <w:spacing w:after="200" w:line="276" w:lineRule="auto"/>
      </w:pPr>
      <w:r>
        <w:br w:type="page"/>
      </w:r>
    </w:p>
    <w:p w14:paraId="6130F2DD" w14:textId="77777777" w:rsidR="00044197" w:rsidRDefault="00044197" w:rsidP="00044197">
      <w:pPr>
        <w:pStyle w:val="Subtitle"/>
        <w:numPr>
          <w:ilvl w:val="0"/>
          <w:numId w:val="1"/>
        </w:numPr>
      </w:pPr>
      <w:r>
        <w:lastRenderedPageBreak/>
        <w:t>Vehicle Ownership and Operating Costs</w:t>
      </w:r>
    </w:p>
    <w:p w14:paraId="6130F2DE" w14:textId="77777777" w:rsidR="00777992" w:rsidRDefault="00777992" w:rsidP="00777992"/>
    <w:p w14:paraId="6130F2DF" w14:textId="77777777" w:rsidR="00777992" w:rsidRPr="00777992" w:rsidRDefault="00777992" w:rsidP="00F20795">
      <w:pPr>
        <w:jc w:val="both"/>
        <w:rPr>
          <w:rFonts w:asciiTheme="minorHAnsi" w:hAnsiTheme="minorHAnsi"/>
          <w:szCs w:val="22"/>
        </w:rPr>
      </w:pPr>
      <w:r w:rsidRPr="00777992">
        <w:rPr>
          <w:rFonts w:asciiTheme="minorHAnsi" w:hAnsiTheme="minorHAnsi"/>
        </w:rPr>
        <w:t xml:space="preserve">People who live in households without a personal vehicle are another key audience whose lives are much improved by the availability of transit. Within the city of Valdosta, more than 3,700 people (nearly 7 percent of the city’s population) do not have a personal vehicle in their household; even outside the city limits, the lack of vehicle availability is noticeable, with a total of more than 5,500 county residents (or nearly 5 percent of the county’s population) living in zero-car households. </w:t>
      </w:r>
      <w:r w:rsidRPr="00777992">
        <w:rPr>
          <w:rFonts w:asciiTheme="minorHAnsi" w:hAnsiTheme="minorHAnsi"/>
          <w:szCs w:val="22"/>
        </w:rPr>
        <w:t>Even residents with a vehicle might find the use of transit to be a more viable economic solution, as the average cost to own and operate can be a burden.</w:t>
      </w:r>
    </w:p>
    <w:p w14:paraId="6130F2E0" w14:textId="77777777" w:rsidR="00777992" w:rsidRPr="00777992" w:rsidRDefault="00777992" w:rsidP="00F20795">
      <w:pPr>
        <w:jc w:val="both"/>
      </w:pPr>
    </w:p>
    <w:p w14:paraId="6130F2E1" w14:textId="77777777" w:rsidR="006B4DD5" w:rsidRDefault="006B4DD5" w:rsidP="00F20795">
      <w:pPr>
        <w:spacing w:after="200"/>
        <w:jc w:val="both"/>
        <w:rPr>
          <w:sz w:val="22"/>
          <w:szCs w:val="22"/>
        </w:rPr>
      </w:pPr>
      <w:r w:rsidRPr="002C59E0">
        <w:rPr>
          <w:rFonts w:asciiTheme="minorHAnsi" w:hAnsiTheme="minorHAnsi"/>
          <w:szCs w:val="22"/>
        </w:rPr>
        <w:t>Vehicle ownership and operating costs are calculated for transit riders who decide to use a personal automobile in the absence of transit.</w:t>
      </w:r>
      <w:r w:rsidR="00FE22CF">
        <w:rPr>
          <w:rFonts w:asciiTheme="minorHAnsi" w:hAnsiTheme="minorHAnsi"/>
          <w:szCs w:val="22"/>
        </w:rPr>
        <w:t xml:space="preserve"> Using the High and Low estimates from the Tindale Oliver report, t</w:t>
      </w:r>
      <w:r w:rsidRPr="002C59E0">
        <w:rPr>
          <w:rFonts w:asciiTheme="minorHAnsi" w:hAnsiTheme="minorHAnsi"/>
          <w:szCs w:val="22"/>
        </w:rPr>
        <w:t>his figure is estimated to be 12.8%, or 4,045 trips per year. These costs can be understood as the money that is saved by using public transportation instead of driving a personal automobile.</w:t>
      </w:r>
    </w:p>
    <w:p w14:paraId="6130F2E2" w14:textId="77777777" w:rsidR="009533A6" w:rsidRPr="0006512D" w:rsidRDefault="009533A6" w:rsidP="00F20795">
      <w:pPr>
        <w:jc w:val="both"/>
        <w:rPr>
          <w:rFonts w:asciiTheme="minorHAnsi" w:hAnsiTheme="minorHAnsi"/>
        </w:rPr>
      </w:pPr>
      <w:r w:rsidRPr="0006512D">
        <w:rPr>
          <w:rFonts w:asciiTheme="minorHAnsi" w:hAnsiTheme="minorHAnsi"/>
        </w:rPr>
        <w:t>Considering that on an average, vehicle owners drive 15,000 miles per year, the vehicle ownership and operation cost for an average U.S. driver is estimated as $0.65 per mile, which is the average of values for all the vehicle types from the AAA data for 2013</w:t>
      </w:r>
      <w:r w:rsidR="00205AC8" w:rsidRPr="0006512D">
        <w:rPr>
          <w:rFonts w:asciiTheme="minorHAnsi" w:hAnsiTheme="minorHAnsi"/>
        </w:rPr>
        <w:t>. The average trip distance for an urban area is calculated at 3 miles</w:t>
      </w:r>
      <w:r w:rsidRPr="0006512D">
        <w:rPr>
          <w:rFonts w:asciiTheme="minorHAnsi" w:hAnsiTheme="minorHAnsi"/>
        </w:rPr>
        <w:t xml:space="preserve">. </w:t>
      </w:r>
      <w:r w:rsidR="00205AC8" w:rsidRPr="0006512D">
        <w:rPr>
          <w:rFonts w:asciiTheme="minorHAnsi" w:hAnsiTheme="minorHAnsi"/>
        </w:rPr>
        <w:t>These values are</w:t>
      </w:r>
      <w:r w:rsidRPr="0006512D">
        <w:rPr>
          <w:rFonts w:asciiTheme="minorHAnsi" w:hAnsiTheme="minorHAnsi"/>
        </w:rPr>
        <w:t xml:space="preserve"> used in this analysis for calibrating the vehicle ownership and operation costs. </w:t>
      </w:r>
    </w:p>
    <w:p w14:paraId="6130F2E3" w14:textId="77777777" w:rsidR="002C59E0" w:rsidRPr="002C59E0" w:rsidRDefault="002C59E0" w:rsidP="009533A6">
      <w:pPr>
        <w:pStyle w:val="Default"/>
        <w:rPr>
          <w:rFonts w:asciiTheme="minorHAnsi" w:hAnsiTheme="minorHAnsi"/>
          <w:szCs w:val="22"/>
        </w:rPr>
      </w:pPr>
    </w:p>
    <w:tbl>
      <w:tblPr>
        <w:tblW w:w="0" w:type="auto"/>
        <w:jc w:val="center"/>
        <w:tblLayout w:type="fixed"/>
        <w:tblLook w:val="0000" w:firstRow="0" w:lastRow="0" w:firstColumn="0" w:lastColumn="0" w:noHBand="0" w:noVBand="0"/>
      </w:tblPr>
      <w:tblGrid>
        <w:gridCol w:w="2327"/>
        <w:gridCol w:w="2327"/>
        <w:gridCol w:w="2327"/>
        <w:gridCol w:w="2327"/>
      </w:tblGrid>
      <w:tr w:rsidR="009533A6" w14:paraId="6130F2E8" w14:textId="77777777" w:rsidTr="00F20795">
        <w:trPr>
          <w:trHeight w:val="99"/>
          <w:jc w:val="center"/>
        </w:trPr>
        <w:tc>
          <w:tcPr>
            <w:tcW w:w="2327" w:type="dxa"/>
          </w:tcPr>
          <w:p w14:paraId="6130F2E4" w14:textId="77777777" w:rsidR="009533A6" w:rsidRPr="00F20795" w:rsidRDefault="009533A6">
            <w:pPr>
              <w:pStyle w:val="Default"/>
              <w:rPr>
                <w:rFonts w:asciiTheme="minorHAnsi" w:hAnsiTheme="minorHAnsi"/>
                <w:sz w:val="22"/>
                <w:szCs w:val="22"/>
              </w:rPr>
            </w:pPr>
            <w:r w:rsidRPr="00F20795">
              <w:rPr>
                <w:rFonts w:asciiTheme="minorHAnsi" w:hAnsiTheme="minorHAnsi"/>
                <w:b/>
                <w:bCs/>
                <w:sz w:val="22"/>
                <w:szCs w:val="22"/>
              </w:rPr>
              <w:t xml:space="preserve">Vehicle Type </w:t>
            </w:r>
          </w:p>
        </w:tc>
        <w:tc>
          <w:tcPr>
            <w:tcW w:w="2327" w:type="dxa"/>
          </w:tcPr>
          <w:p w14:paraId="6130F2E5" w14:textId="77777777" w:rsidR="009533A6" w:rsidRPr="00F20795" w:rsidRDefault="009533A6">
            <w:pPr>
              <w:pStyle w:val="Default"/>
              <w:rPr>
                <w:rFonts w:asciiTheme="minorHAnsi" w:hAnsiTheme="minorHAnsi"/>
                <w:sz w:val="22"/>
                <w:szCs w:val="22"/>
              </w:rPr>
            </w:pPr>
            <w:r w:rsidRPr="00F20795">
              <w:rPr>
                <w:rFonts w:asciiTheme="minorHAnsi" w:hAnsiTheme="minorHAnsi"/>
                <w:b/>
                <w:bCs/>
                <w:sz w:val="22"/>
                <w:szCs w:val="22"/>
              </w:rPr>
              <w:t xml:space="preserve">10,000 miles per year </w:t>
            </w:r>
          </w:p>
        </w:tc>
        <w:tc>
          <w:tcPr>
            <w:tcW w:w="2327" w:type="dxa"/>
          </w:tcPr>
          <w:p w14:paraId="6130F2E6" w14:textId="77777777" w:rsidR="009533A6" w:rsidRPr="00F20795" w:rsidRDefault="009533A6">
            <w:pPr>
              <w:pStyle w:val="Default"/>
              <w:rPr>
                <w:rFonts w:asciiTheme="minorHAnsi" w:hAnsiTheme="minorHAnsi"/>
                <w:sz w:val="22"/>
                <w:szCs w:val="22"/>
              </w:rPr>
            </w:pPr>
            <w:r w:rsidRPr="00F20795">
              <w:rPr>
                <w:rFonts w:asciiTheme="minorHAnsi" w:hAnsiTheme="minorHAnsi"/>
                <w:b/>
                <w:bCs/>
                <w:sz w:val="22"/>
                <w:szCs w:val="22"/>
              </w:rPr>
              <w:t xml:space="preserve">15,000 miles per year </w:t>
            </w:r>
          </w:p>
        </w:tc>
        <w:tc>
          <w:tcPr>
            <w:tcW w:w="2327" w:type="dxa"/>
          </w:tcPr>
          <w:p w14:paraId="6130F2E7" w14:textId="77777777" w:rsidR="009533A6" w:rsidRPr="00F20795" w:rsidRDefault="009533A6">
            <w:pPr>
              <w:pStyle w:val="Default"/>
              <w:rPr>
                <w:rFonts w:asciiTheme="minorHAnsi" w:hAnsiTheme="minorHAnsi"/>
                <w:sz w:val="22"/>
                <w:szCs w:val="22"/>
              </w:rPr>
            </w:pPr>
            <w:r w:rsidRPr="00F20795">
              <w:rPr>
                <w:rFonts w:asciiTheme="minorHAnsi" w:hAnsiTheme="minorHAnsi"/>
                <w:b/>
                <w:bCs/>
                <w:sz w:val="22"/>
                <w:szCs w:val="22"/>
              </w:rPr>
              <w:t xml:space="preserve">20,000 miles per year </w:t>
            </w:r>
          </w:p>
        </w:tc>
      </w:tr>
      <w:tr w:rsidR="009533A6" w14:paraId="6130F2ED" w14:textId="77777777" w:rsidTr="00F20795">
        <w:trPr>
          <w:trHeight w:val="101"/>
          <w:jc w:val="center"/>
        </w:trPr>
        <w:tc>
          <w:tcPr>
            <w:tcW w:w="2327" w:type="dxa"/>
          </w:tcPr>
          <w:p w14:paraId="6130F2E9"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Small sedan </w:t>
            </w:r>
          </w:p>
        </w:tc>
        <w:tc>
          <w:tcPr>
            <w:tcW w:w="2327" w:type="dxa"/>
          </w:tcPr>
          <w:p w14:paraId="6130F2EA"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59.5 ¢ </w:t>
            </w:r>
          </w:p>
        </w:tc>
        <w:tc>
          <w:tcPr>
            <w:tcW w:w="2327" w:type="dxa"/>
          </w:tcPr>
          <w:p w14:paraId="6130F2EB"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46.4 ¢ </w:t>
            </w:r>
          </w:p>
        </w:tc>
        <w:tc>
          <w:tcPr>
            <w:tcW w:w="2327" w:type="dxa"/>
          </w:tcPr>
          <w:p w14:paraId="6130F2EC"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39.8 ¢ </w:t>
            </w:r>
          </w:p>
        </w:tc>
      </w:tr>
      <w:tr w:rsidR="009533A6" w14:paraId="6130F2F2" w14:textId="77777777" w:rsidTr="00F20795">
        <w:trPr>
          <w:trHeight w:val="101"/>
          <w:jc w:val="center"/>
        </w:trPr>
        <w:tc>
          <w:tcPr>
            <w:tcW w:w="2327" w:type="dxa"/>
          </w:tcPr>
          <w:p w14:paraId="6130F2EE"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Medium sedan </w:t>
            </w:r>
          </w:p>
        </w:tc>
        <w:tc>
          <w:tcPr>
            <w:tcW w:w="2327" w:type="dxa"/>
          </w:tcPr>
          <w:p w14:paraId="6130F2EF"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78.0 ¢ </w:t>
            </w:r>
          </w:p>
        </w:tc>
        <w:tc>
          <w:tcPr>
            <w:tcW w:w="2327" w:type="dxa"/>
          </w:tcPr>
          <w:p w14:paraId="6130F2F0"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61.0 ¢ </w:t>
            </w:r>
          </w:p>
        </w:tc>
        <w:tc>
          <w:tcPr>
            <w:tcW w:w="2327" w:type="dxa"/>
          </w:tcPr>
          <w:p w14:paraId="6130F2F1"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52.3 ¢ </w:t>
            </w:r>
          </w:p>
        </w:tc>
      </w:tr>
      <w:tr w:rsidR="009533A6" w14:paraId="6130F2F7" w14:textId="77777777" w:rsidTr="00F20795">
        <w:trPr>
          <w:trHeight w:val="101"/>
          <w:jc w:val="center"/>
        </w:trPr>
        <w:tc>
          <w:tcPr>
            <w:tcW w:w="2327" w:type="dxa"/>
          </w:tcPr>
          <w:p w14:paraId="6130F2F3"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Large sedan </w:t>
            </w:r>
          </w:p>
        </w:tc>
        <w:tc>
          <w:tcPr>
            <w:tcW w:w="2327" w:type="dxa"/>
          </w:tcPr>
          <w:p w14:paraId="6130F2F4"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97.5 ¢ </w:t>
            </w:r>
          </w:p>
        </w:tc>
        <w:tc>
          <w:tcPr>
            <w:tcW w:w="2327" w:type="dxa"/>
          </w:tcPr>
          <w:p w14:paraId="6130F2F5"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75.0 ¢ </w:t>
            </w:r>
          </w:p>
        </w:tc>
        <w:tc>
          <w:tcPr>
            <w:tcW w:w="2327" w:type="dxa"/>
          </w:tcPr>
          <w:p w14:paraId="6130F2F6"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63.5 ¢ </w:t>
            </w:r>
          </w:p>
        </w:tc>
      </w:tr>
      <w:tr w:rsidR="009533A6" w14:paraId="6130F2FC" w14:textId="77777777" w:rsidTr="00F20795">
        <w:trPr>
          <w:trHeight w:val="101"/>
          <w:jc w:val="center"/>
        </w:trPr>
        <w:tc>
          <w:tcPr>
            <w:tcW w:w="2327" w:type="dxa"/>
          </w:tcPr>
          <w:p w14:paraId="6130F2F8"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4WD SUV </w:t>
            </w:r>
          </w:p>
        </w:tc>
        <w:tc>
          <w:tcPr>
            <w:tcW w:w="2327" w:type="dxa"/>
          </w:tcPr>
          <w:p w14:paraId="6130F2F9"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$1 </w:t>
            </w:r>
          </w:p>
        </w:tc>
        <w:tc>
          <w:tcPr>
            <w:tcW w:w="2327" w:type="dxa"/>
          </w:tcPr>
          <w:p w14:paraId="6130F2FA"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77.3 ¢ </w:t>
            </w:r>
          </w:p>
        </w:tc>
        <w:tc>
          <w:tcPr>
            <w:tcW w:w="2327" w:type="dxa"/>
          </w:tcPr>
          <w:p w14:paraId="6130F2FB"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65.7 ¢ </w:t>
            </w:r>
          </w:p>
        </w:tc>
      </w:tr>
      <w:tr w:rsidR="009533A6" w14:paraId="6130F301" w14:textId="77777777" w:rsidTr="00F20795">
        <w:trPr>
          <w:trHeight w:val="101"/>
          <w:jc w:val="center"/>
        </w:trPr>
        <w:tc>
          <w:tcPr>
            <w:tcW w:w="2327" w:type="dxa"/>
          </w:tcPr>
          <w:p w14:paraId="6130F2FD"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Mini van </w:t>
            </w:r>
          </w:p>
        </w:tc>
        <w:tc>
          <w:tcPr>
            <w:tcW w:w="2327" w:type="dxa"/>
          </w:tcPr>
          <w:p w14:paraId="6130F2FE"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84.0 ¢ </w:t>
            </w:r>
          </w:p>
        </w:tc>
        <w:tc>
          <w:tcPr>
            <w:tcW w:w="2327" w:type="dxa"/>
          </w:tcPr>
          <w:p w14:paraId="6130F2FF" w14:textId="77777777" w:rsidR="009533A6" w:rsidRPr="00F20795" w:rsidRDefault="009533A6">
            <w:pPr>
              <w:pStyle w:val="Default"/>
              <w:rPr>
                <w:rFonts w:asciiTheme="minorHAnsi" w:hAnsiTheme="minorHAnsi"/>
                <w:sz w:val="22"/>
                <w:szCs w:val="22"/>
              </w:rPr>
            </w:pPr>
            <w:r w:rsidRPr="00F20795">
              <w:rPr>
                <w:rFonts w:asciiTheme="minorHAnsi" w:hAnsiTheme="minorHAnsi"/>
                <w:sz w:val="22"/>
                <w:szCs w:val="22"/>
              </w:rPr>
              <w:t xml:space="preserve">65.3 ¢ </w:t>
            </w:r>
          </w:p>
        </w:tc>
        <w:tc>
          <w:tcPr>
            <w:tcW w:w="2327" w:type="dxa"/>
          </w:tcPr>
          <w:p w14:paraId="6130F300" w14:textId="77777777" w:rsidR="009533A6" w:rsidRPr="00F20795" w:rsidRDefault="009533A6" w:rsidP="007B35EE">
            <w:pPr>
              <w:pStyle w:val="Default"/>
              <w:keepNext/>
              <w:rPr>
                <w:rFonts w:asciiTheme="minorHAnsi" w:hAnsiTheme="minorHAnsi"/>
                <w:sz w:val="22"/>
                <w:szCs w:val="22"/>
              </w:rPr>
            </w:pPr>
            <w:r w:rsidRPr="00F20795">
              <w:rPr>
                <w:rFonts w:asciiTheme="minorHAnsi" w:hAnsiTheme="minorHAnsi"/>
                <w:sz w:val="22"/>
                <w:szCs w:val="22"/>
              </w:rPr>
              <w:t xml:space="preserve">55.7 ¢ </w:t>
            </w:r>
          </w:p>
        </w:tc>
      </w:tr>
    </w:tbl>
    <w:p w14:paraId="6130F302" w14:textId="77777777" w:rsidR="006B4DD5" w:rsidRDefault="007B35EE" w:rsidP="007B35EE">
      <w:pPr>
        <w:pStyle w:val="Caption"/>
        <w:rPr>
          <w:rFonts w:asciiTheme="minorHAnsi" w:hAnsiTheme="minorHAnsi"/>
        </w:rPr>
      </w:pPr>
      <w:r w:rsidRPr="00FA03BC">
        <w:t>Source: AAA, Your Driving Costs, 2013 http://newsroom.aaa.com/wp-content/uploads/2013/04/YourDrivingCosts2013.pdf</w:t>
      </w:r>
    </w:p>
    <w:p w14:paraId="6130F303" w14:textId="77777777" w:rsidR="009533A6" w:rsidRDefault="006B4DD5" w:rsidP="00582849">
      <w:pPr>
        <w:spacing w:after="200" w:line="276" w:lineRule="auto"/>
        <w:rPr>
          <w:rFonts w:asciiTheme="minorHAnsi" w:hAnsiTheme="minorHAnsi"/>
        </w:rPr>
      </w:pPr>
      <w:r>
        <w:rPr>
          <w:rFonts w:asciiTheme="minorHAnsi" w:hAnsiTheme="minorHAnsi"/>
        </w:rPr>
        <w:t>The</w:t>
      </w:r>
      <w:r w:rsidR="009533A6">
        <w:rPr>
          <w:rFonts w:asciiTheme="minorHAnsi" w:hAnsiTheme="minorHAnsi"/>
        </w:rPr>
        <w:t xml:space="preserve"> </w:t>
      </w:r>
      <w:r>
        <w:rPr>
          <w:rFonts w:asciiTheme="minorHAnsi" w:hAnsiTheme="minorHAnsi"/>
        </w:rPr>
        <w:t>f</w:t>
      </w:r>
      <w:r w:rsidR="009533A6">
        <w:rPr>
          <w:rFonts w:asciiTheme="minorHAnsi" w:hAnsiTheme="minorHAnsi"/>
        </w:rPr>
        <w:t>ormula for calculating Vehicl</w:t>
      </w:r>
      <w:r>
        <w:rPr>
          <w:rFonts w:asciiTheme="minorHAnsi" w:hAnsiTheme="minorHAnsi"/>
        </w:rPr>
        <w:t>e Ownership and Operation Costs is:</w:t>
      </w:r>
    </w:p>
    <w:p w14:paraId="6130F304" w14:textId="77777777" w:rsidR="006B4DD5" w:rsidRPr="002C59E0" w:rsidRDefault="009533A6" w:rsidP="00205AC8">
      <w:pPr>
        <w:spacing w:after="200" w:line="276" w:lineRule="auto"/>
        <w:jc w:val="center"/>
        <w:rPr>
          <w:rFonts w:asciiTheme="minorHAnsi" w:hAnsiTheme="minorHAnsi"/>
          <w:i/>
          <w:iCs/>
          <w:szCs w:val="22"/>
        </w:rPr>
      </w:pPr>
      <w:r w:rsidRPr="002C59E0">
        <w:rPr>
          <w:rFonts w:asciiTheme="minorHAnsi" w:hAnsiTheme="minorHAnsi"/>
          <w:i/>
          <w:iCs/>
          <w:szCs w:val="22"/>
        </w:rPr>
        <w:t xml:space="preserve"> $[trips made in personal car x average trip length x $0.65] </w:t>
      </w:r>
    </w:p>
    <w:tbl>
      <w:tblPr>
        <w:tblW w:w="0" w:type="auto"/>
        <w:jc w:val="center"/>
        <w:tblLayout w:type="fixed"/>
        <w:tblLook w:val="04A0" w:firstRow="1" w:lastRow="0" w:firstColumn="1" w:lastColumn="0" w:noHBand="0" w:noVBand="1"/>
      </w:tblPr>
      <w:tblGrid>
        <w:gridCol w:w="1638"/>
        <w:gridCol w:w="3330"/>
        <w:gridCol w:w="3329"/>
        <w:gridCol w:w="1279"/>
      </w:tblGrid>
      <w:tr w:rsidR="00777992" w:rsidRPr="00F90499" w14:paraId="6130F306" w14:textId="77777777" w:rsidTr="008B399A">
        <w:trPr>
          <w:trHeight w:val="332"/>
          <w:jc w:val="center"/>
        </w:trPr>
        <w:tc>
          <w:tcPr>
            <w:tcW w:w="9576" w:type="dxa"/>
            <w:gridSpan w:val="4"/>
            <w:vAlign w:val="bottom"/>
          </w:tcPr>
          <w:p w14:paraId="6130F305" w14:textId="77777777" w:rsidR="00777992" w:rsidRPr="008B399A" w:rsidRDefault="00333201" w:rsidP="00F20795">
            <w:pPr>
              <w:rPr>
                <w:rFonts w:asciiTheme="minorHAnsi" w:hAnsiTheme="minorHAnsi"/>
                <w:b/>
                <w:bCs/>
                <w:iCs/>
                <w:sz w:val="22"/>
                <w:szCs w:val="22"/>
              </w:rPr>
            </w:pPr>
            <w:r>
              <w:rPr>
                <w:rFonts w:asciiTheme="minorHAnsi" w:hAnsiTheme="minorHAnsi"/>
                <w:b/>
                <w:bCs/>
                <w:iCs/>
                <w:sz w:val="22"/>
                <w:szCs w:val="22"/>
              </w:rPr>
              <w:t>Use Personal Vehicle</w:t>
            </w:r>
          </w:p>
        </w:tc>
      </w:tr>
      <w:tr w:rsidR="00481A97" w:rsidRPr="00F90499" w14:paraId="6130F30B" w14:textId="77777777" w:rsidTr="008B399A">
        <w:trPr>
          <w:trHeight w:val="288"/>
          <w:jc w:val="center"/>
        </w:trPr>
        <w:tc>
          <w:tcPr>
            <w:tcW w:w="1638" w:type="dxa"/>
            <w:vAlign w:val="center"/>
          </w:tcPr>
          <w:p w14:paraId="6130F307" w14:textId="77777777" w:rsidR="00777992" w:rsidRPr="008B399A" w:rsidRDefault="00777992" w:rsidP="009165A0">
            <w:pPr>
              <w:spacing w:after="200" w:line="276" w:lineRule="auto"/>
              <w:jc w:val="center"/>
              <w:rPr>
                <w:rFonts w:asciiTheme="minorHAnsi" w:hAnsiTheme="minorHAnsi"/>
                <w:b/>
                <w:bCs/>
                <w:iCs/>
                <w:sz w:val="22"/>
                <w:szCs w:val="22"/>
              </w:rPr>
            </w:pPr>
          </w:p>
        </w:tc>
        <w:tc>
          <w:tcPr>
            <w:tcW w:w="3330" w:type="dxa"/>
            <w:noWrap/>
            <w:vAlign w:val="center"/>
          </w:tcPr>
          <w:p w14:paraId="6130F308" w14:textId="77777777" w:rsidR="00777992" w:rsidRPr="008B399A" w:rsidRDefault="00777992" w:rsidP="00F20795">
            <w:pPr>
              <w:jc w:val="center"/>
              <w:rPr>
                <w:rFonts w:asciiTheme="minorHAnsi" w:hAnsiTheme="minorHAnsi"/>
                <w:b/>
                <w:bCs/>
                <w:iCs/>
                <w:sz w:val="22"/>
                <w:szCs w:val="22"/>
              </w:rPr>
            </w:pPr>
            <w:r w:rsidRPr="008B399A">
              <w:rPr>
                <w:rFonts w:asciiTheme="minorHAnsi" w:hAnsiTheme="minorHAnsi"/>
                <w:color w:val="000000"/>
                <w:sz w:val="22"/>
                <w:szCs w:val="22"/>
              </w:rPr>
              <w:t>[(Trips x %) x Avg. Trip</w:t>
            </w:r>
            <w:r w:rsidR="00DA2586" w:rsidRPr="008B399A">
              <w:rPr>
                <w:rFonts w:asciiTheme="minorHAnsi" w:hAnsiTheme="minorHAnsi"/>
                <w:color w:val="000000"/>
                <w:sz w:val="22"/>
                <w:szCs w:val="22"/>
              </w:rPr>
              <w:t xml:space="preserve"> </w:t>
            </w:r>
            <w:r w:rsidRPr="008B399A">
              <w:rPr>
                <w:rFonts w:asciiTheme="minorHAnsi" w:hAnsiTheme="minorHAnsi"/>
                <w:color w:val="000000"/>
                <w:sz w:val="22"/>
                <w:szCs w:val="22"/>
              </w:rPr>
              <w:t>Dist. x $0.65]</w:t>
            </w:r>
          </w:p>
        </w:tc>
        <w:tc>
          <w:tcPr>
            <w:tcW w:w="3329" w:type="dxa"/>
            <w:noWrap/>
            <w:vAlign w:val="center"/>
          </w:tcPr>
          <w:p w14:paraId="6130F309" w14:textId="77777777" w:rsidR="00777992" w:rsidRPr="008B399A" w:rsidRDefault="00777992" w:rsidP="00F20795">
            <w:pPr>
              <w:spacing w:after="100" w:afterAutospacing="1"/>
              <w:jc w:val="center"/>
              <w:rPr>
                <w:rFonts w:asciiTheme="minorHAnsi" w:hAnsiTheme="minorHAnsi"/>
                <w:b/>
                <w:bCs/>
                <w:iCs/>
                <w:sz w:val="22"/>
                <w:szCs w:val="22"/>
              </w:rPr>
            </w:pPr>
            <w:r w:rsidRPr="008B399A">
              <w:rPr>
                <w:rFonts w:asciiTheme="minorHAnsi" w:hAnsiTheme="minorHAnsi"/>
                <w:color w:val="000000"/>
                <w:sz w:val="22"/>
                <w:szCs w:val="22"/>
              </w:rPr>
              <w:t>[(Trips x %) x Avg. Trip</w:t>
            </w:r>
            <w:r w:rsidR="00DA2586" w:rsidRPr="008B399A">
              <w:rPr>
                <w:rFonts w:asciiTheme="minorHAnsi" w:hAnsiTheme="minorHAnsi"/>
                <w:color w:val="000000"/>
                <w:sz w:val="22"/>
                <w:szCs w:val="22"/>
              </w:rPr>
              <w:t xml:space="preserve"> </w:t>
            </w:r>
            <w:r w:rsidRPr="008B399A">
              <w:rPr>
                <w:rFonts w:asciiTheme="minorHAnsi" w:hAnsiTheme="minorHAnsi"/>
                <w:color w:val="000000"/>
                <w:sz w:val="22"/>
                <w:szCs w:val="22"/>
              </w:rPr>
              <w:t>Dist. x $0.33]</w:t>
            </w:r>
          </w:p>
        </w:tc>
        <w:tc>
          <w:tcPr>
            <w:tcW w:w="1279" w:type="dxa"/>
            <w:noWrap/>
            <w:vAlign w:val="center"/>
          </w:tcPr>
          <w:p w14:paraId="6130F30A" w14:textId="77777777" w:rsidR="00777992" w:rsidRPr="008B399A" w:rsidRDefault="00777992" w:rsidP="009165A0">
            <w:pPr>
              <w:spacing w:after="200" w:line="276" w:lineRule="auto"/>
              <w:jc w:val="center"/>
              <w:rPr>
                <w:rFonts w:asciiTheme="minorHAnsi" w:hAnsiTheme="minorHAnsi"/>
                <w:b/>
                <w:bCs/>
                <w:iCs/>
                <w:sz w:val="22"/>
                <w:szCs w:val="22"/>
              </w:rPr>
            </w:pPr>
          </w:p>
        </w:tc>
      </w:tr>
      <w:tr w:rsidR="003034DB" w:rsidRPr="00F90499" w14:paraId="6130F310" w14:textId="77777777" w:rsidTr="00AF14F4">
        <w:trPr>
          <w:trHeight w:val="422"/>
          <w:jc w:val="center"/>
        </w:trPr>
        <w:tc>
          <w:tcPr>
            <w:tcW w:w="1638" w:type="dxa"/>
            <w:vAlign w:val="center"/>
            <w:hideMark/>
          </w:tcPr>
          <w:p w14:paraId="6130F30C" w14:textId="77777777" w:rsidR="00777992" w:rsidRPr="008B399A" w:rsidRDefault="00481A97" w:rsidP="00AF14F4">
            <w:pPr>
              <w:spacing w:after="200" w:line="276" w:lineRule="auto"/>
              <w:jc w:val="center"/>
              <w:rPr>
                <w:rFonts w:asciiTheme="minorHAnsi" w:hAnsiTheme="minorHAnsi"/>
                <w:b/>
                <w:bCs/>
                <w:iCs/>
                <w:sz w:val="22"/>
                <w:szCs w:val="22"/>
              </w:rPr>
            </w:pPr>
            <w:r w:rsidRPr="008B399A">
              <w:rPr>
                <w:rFonts w:asciiTheme="minorHAnsi" w:hAnsiTheme="minorHAnsi"/>
                <w:b/>
                <w:bCs/>
                <w:iCs/>
                <w:sz w:val="22"/>
                <w:szCs w:val="22"/>
              </w:rPr>
              <w:t>T.O. Estimates</w:t>
            </w:r>
          </w:p>
        </w:tc>
        <w:tc>
          <w:tcPr>
            <w:tcW w:w="3330" w:type="dxa"/>
            <w:noWrap/>
            <w:vAlign w:val="center"/>
            <w:hideMark/>
          </w:tcPr>
          <w:p w14:paraId="6130F30D" w14:textId="77777777" w:rsidR="00777992" w:rsidRPr="008B399A" w:rsidRDefault="00777992" w:rsidP="00AF14F4">
            <w:pPr>
              <w:spacing w:after="200" w:line="276" w:lineRule="auto"/>
              <w:jc w:val="center"/>
              <w:rPr>
                <w:rFonts w:asciiTheme="minorHAnsi" w:hAnsiTheme="minorHAnsi"/>
                <w:b/>
                <w:bCs/>
                <w:iCs/>
                <w:sz w:val="22"/>
                <w:szCs w:val="22"/>
              </w:rPr>
            </w:pPr>
            <w:r w:rsidRPr="008B399A">
              <w:rPr>
                <w:rFonts w:asciiTheme="minorHAnsi" w:hAnsiTheme="minorHAnsi"/>
                <w:b/>
                <w:bCs/>
                <w:iCs/>
                <w:sz w:val="22"/>
                <w:szCs w:val="22"/>
              </w:rPr>
              <w:t>Cost to Own &amp; Operate</w:t>
            </w:r>
          </w:p>
        </w:tc>
        <w:tc>
          <w:tcPr>
            <w:tcW w:w="3329" w:type="dxa"/>
            <w:noWrap/>
            <w:vAlign w:val="center"/>
            <w:hideMark/>
          </w:tcPr>
          <w:p w14:paraId="6130F30E" w14:textId="77777777" w:rsidR="00777992" w:rsidRPr="008B399A" w:rsidRDefault="00777992" w:rsidP="00AF14F4">
            <w:pPr>
              <w:spacing w:after="200"/>
              <w:jc w:val="center"/>
              <w:rPr>
                <w:rFonts w:asciiTheme="minorHAnsi" w:hAnsiTheme="minorHAnsi"/>
                <w:b/>
                <w:bCs/>
                <w:iCs/>
                <w:sz w:val="22"/>
                <w:szCs w:val="22"/>
              </w:rPr>
            </w:pPr>
            <w:r w:rsidRPr="008B399A">
              <w:rPr>
                <w:rFonts w:asciiTheme="minorHAnsi" w:hAnsiTheme="minorHAnsi"/>
                <w:b/>
                <w:bCs/>
                <w:iCs/>
                <w:sz w:val="22"/>
                <w:szCs w:val="22"/>
              </w:rPr>
              <w:t>Transit</w:t>
            </w:r>
          </w:p>
        </w:tc>
        <w:tc>
          <w:tcPr>
            <w:tcW w:w="1279" w:type="dxa"/>
            <w:noWrap/>
            <w:vAlign w:val="center"/>
            <w:hideMark/>
          </w:tcPr>
          <w:p w14:paraId="6130F30F" w14:textId="77777777" w:rsidR="00777992" w:rsidRPr="008B399A" w:rsidRDefault="00777992" w:rsidP="00AF14F4">
            <w:pPr>
              <w:spacing w:after="200" w:line="276" w:lineRule="auto"/>
              <w:jc w:val="center"/>
              <w:rPr>
                <w:rFonts w:asciiTheme="minorHAnsi" w:hAnsiTheme="minorHAnsi"/>
                <w:b/>
                <w:bCs/>
                <w:iCs/>
                <w:sz w:val="22"/>
                <w:szCs w:val="22"/>
              </w:rPr>
            </w:pPr>
            <w:r w:rsidRPr="008B399A">
              <w:rPr>
                <w:rFonts w:asciiTheme="minorHAnsi" w:hAnsiTheme="minorHAnsi"/>
                <w:b/>
                <w:bCs/>
                <w:iCs/>
                <w:sz w:val="22"/>
                <w:szCs w:val="22"/>
              </w:rPr>
              <w:t>Net Savings</w:t>
            </w:r>
          </w:p>
        </w:tc>
      </w:tr>
      <w:tr w:rsidR="003034DB" w:rsidRPr="00F90499" w14:paraId="6130F315" w14:textId="77777777" w:rsidTr="00AF14F4">
        <w:trPr>
          <w:trHeight w:val="458"/>
          <w:jc w:val="center"/>
        </w:trPr>
        <w:tc>
          <w:tcPr>
            <w:tcW w:w="1638" w:type="dxa"/>
            <w:vAlign w:val="center"/>
          </w:tcPr>
          <w:p w14:paraId="6130F311" w14:textId="77777777" w:rsidR="00777992" w:rsidRPr="008B399A" w:rsidRDefault="00481A97" w:rsidP="00AF14F4">
            <w:pPr>
              <w:spacing w:after="200" w:line="276" w:lineRule="auto"/>
              <w:jc w:val="center"/>
              <w:rPr>
                <w:rFonts w:asciiTheme="minorHAnsi" w:hAnsiTheme="minorHAnsi"/>
                <w:bCs/>
                <w:iCs/>
                <w:sz w:val="22"/>
                <w:szCs w:val="22"/>
              </w:rPr>
            </w:pPr>
            <w:r w:rsidRPr="008B399A">
              <w:rPr>
                <w:rFonts w:asciiTheme="minorHAnsi" w:hAnsiTheme="minorHAnsi"/>
                <w:bCs/>
                <w:iCs/>
                <w:sz w:val="22"/>
                <w:szCs w:val="22"/>
              </w:rPr>
              <w:t>Annual Costs</w:t>
            </w:r>
          </w:p>
        </w:tc>
        <w:tc>
          <w:tcPr>
            <w:tcW w:w="3330" w:type="dxa"/>
            <w:noWrap/>
            <w:vAlign w:val="center"/>
          </w:tcPr>
          <w:p w14:paraId="6130F312"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$7,887.36</w:t>
            </w:r>
          </w:p>
        </w:tc>
        <w:tc>
          <w:tcPr>
            <w:tcW w:w="3329" w:type="dxa"/>
            <w:noWrap/>
            <w:vAlign w:val="center"/>
          </w:tcPr>
          <w:p w14:paraId="6130F313"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$3,640.32</w:t>
            </w:r>
          </w:p>
        </w:tc>
        <w:tc>
          <w:tcPr>
            <w:tcW w:w="1279" w:type="dxa"/>
            <w:noWrap/>
            <w:vAlign w:val="center"/>
          </w:tcPr>
          <w:p w14:paraId="6130F314"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$4,247.04</w:t>
            </w:r>
          </w:p>
        </w:tc>
      </w:tr>
      <w:tr w:rsidR="003034DB" w:rsidRPr="003034DB" w14:paraId="6130F31A" w14:textId="77777777" w:rsidTr="00AF14F4">
        <w:trPr>
          <w:trHeight w:val="828"/>
          <w:jc w:val="center"/>
        </w:trPr>
        <w:tc>
          <w:tcPr>
            <w:tcW w:w="1638" w:type="dxa"/>
            <w:vAlign w:val="center"/>
          </w:tcPr>
          <w:p w14:paraId="6130F316" w14:textId="77777777" w:rsidR="00777992" w:rsidRPr="008B399A" w:rsidRDefault="00481A97" w:rsidP="00AF14F4">
            <w:pPr>
              <w:spacing w:after="200" w:line="276" w:lineRule="auto"/>
              <w:jc w:val="center"/>
              <w:rPr>
                <w:rFonts w:asciiTheme="minorHAnsi" w:eastAsia="Times New Roman" w:hAnsiTheme="minorHAnsi" w:cs="Times New Roman"/>
                <w:color w:val="000000"/>
                <w:sz w:val="22"/>
                <w:szCs w:val="22"/>
              </w:rPr>
            </w:pPr>
            <w:r w:rsidRPr="008B399A">
              <w:rPr>
                <w:rFonts w:asciiTheme="minorHAnsi" w:eastAsia="Times New Roman" w:hAnsiTheme="minorHAnsi" w:cs="Times New Roman"/>
                <w:color w:val="000000"/>
                <w:sz w:val="22"/>
                <w:szCs w:val="22"/>
              </w:rPr>
              <w:t>Cost per Trip (Annual Cost/% of Trips)</w:t>
            </w:r>
          </w:p>
        </w:tc>
        <w:tc>
          <w:tcPr>
            <w:tcW w:w="3330" w:type="dxa"/>
            <w:noWrap/>
            <w:vAlign w:val="center"/>
          </w:tcPr>
          <w:p w14:paraId="6130F317"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$1.95</w:t>
            </w:r>
          </w:p>
        </w:tc>
        <w:tc>
          <w:tcPr>
            <w:tcW w:w="3329" w:type="dxa"/>
            <w:noWrap/>
            <w:vAlign w:val="center"/>
          </w:tcPr>
          <w:p w14:paraId="6130F318"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$0.90</w:t>
            </w:r>
          </w:p>
        </w:tc>
        <w:tc>
          <w:tcPr>
            <w:tcW w:w="1279" w:type="dxa"/>
            <w:noWrap/>
            <w:vAlign w:val="center"/>
          </w:tcPr>
          <w:p w14:paraId="6130F319" w14:textId="77777777" w:rsidR="00777992" w:rsidRPr="008B399A" w:rsidRDefault="00777992" w:rsidP="00AF14F4">
            <w:pPr>
              <w:jc w:val="center"/>
              <w:rPr>
                <w:rFonts w:asciiTheme="minorHAnsi" w:hAnsiTheme="minorHAnsi"/>
                <w:color w:val="000000"/>
                <w:sz w:val="22"/>
                <w:szCs w:val="22"/>
              </w:rPr>
            </w:pPr>
            <w:r w:rsidRPr="008B399A">
              <w:rPr>
                <w:rFonts w:asciiTheme="minorHAnsi" w:hAnsiTheme="minorHAnsi"/>
                <w:color w:val="000000"/>
                <w:sz w:val="22"/>
                <w:szCs w:val="22"/>
              </w:rPr>
              <w:t>$1.05</w:t>
            </w:r>
          </w:p>
        </w:tc>
      </w:tr>
    </w:tbl>
    <w:p w14:paraId="6130F31B" w14:textId="77777777" w:rsidR="00333201" w:rsidRDefault="00333201" w:rsidP="00333201">
      <w:pPr>
        <w:pStyle w:val="Subtitle"/>
        <w:numPr>
          <w:ilvl w:val="0"/>
          <w:numId w:val="0"/>
        </w:numPr>
        <w:ind w:left="720"/>
      </w:pPr>
    </w:p>
    <w:p w14:paraId="6130F31C" w14:textId="77777777" w:rsidR="00044197" w:rsidRPr="00E33C92" w:rsidRDefault="00044197" w:rsidP="00333201">
      <w:pPr>
        <w:pStyle w:val="Subtitle"/>
        <w:numPr>
          <w:ilvl w:val="0"/>
          <w:numId w:val="3"/>
        </w:numPr>
      </w:pPr>
      <w:r w:rsidRPr="00E33C92">
        <w:lastRenderedPageBreak/>
        <w:t>Chauffeured Costs of Riding with Someone</w:t>
      </w:r>
    </w:p>
    <w:p w14:paraId="6130F31D" w14:textId="77777777" w:rsidR="00044197" w:rsidRDefault="00044197" w:rsidP="00044197">
      <w:pPr>
        <w:rPr>
          <w:highlight w:val="yellow"/>
        </w:rPr>
      </w:pPr>
    </w:p>
    <w:p w14:paraId="6130F31E" w14:textId="77777777" w:rsidR="00044197" w:rsidRPr="00854619" w:rsidRDefault="00044197" w:rsidP="00F20795">
      <w:pPr>
        <w:jc w:val="both"/>
        <w:rPr>
          <w:rFonts w:asciiTheme="minorHAnsi" w:hAnsiTheme="minorHAnsi"/>
          <w:szCs w:val="22"/>
        </w:rPr>
      </w:pPr>
      <w:r w:rsidRPr="00854619">
        <w:rPr>
          <w:rFonts w:asciiTheme="minorHAnsi" w:hAnsiTheme="minorHAnsi"/>
          <w:szCs w:val="22"/>
        </w:rPr>
        <w:t>While some will drive themselves in the absence of transit, many cannot drive or do not have access to an automobile and will get a ride from someone else, such as a family member or friend. Chauffeuring trips are additional automobile trips made specifically for a passenger (Litman 2012). Chauffeuring trips excludes ride sharing because these trips will be made anyway whether or not there are additional passengers in the vehicle (Litman 2012). These chauffeuring trips can be expensive, inefficient and burdensome for the driver. According to Litman (2012), rider surveys indicated that among the transit riders who would choose to travel as automobile passengers in the absence of transit, half of the trips are rideshare trips, meaning the remaining half are chauffeured trips .</w:t>
      </w:r>
    </w:p>
    <w:p w14:paraId="6130F31F" w14:textId="77777777" w:rsidR="001A1786" w:rsidRDefault="001A1786" w:rsidP="00044197">
      <w:pPr>
        <w:rPr>
          <w:sz w:val="22"/>
          <w:szCs w:val="22"/>
        </w:rPr>
      </w:pPr>
    </w:p>
    <w:tbl>
      <w:tblPr>
        <w:tblW w:w="0" w:type="auto"/>
        <w:tblLayout w:type="fixed"/>
        <w:tblLook w:val="04A0" w:firstRow="1" w:lastRow="0" w:firstColumn="1" w:lastColumn="0" w:noHBand="0" w:noVBand="1"/>
      </w:tblPr>
      <w:tblGrid>
        <w:gridCol w:w="2841"/>
        <w:gridCol w:w="2803"/>
        <w:gridCol w:w="2466"/>
        <w:gridCol w:w="1368"/>
      </w:tblGrid>
      <w:tr w:rsidR="00863AB5" w:rsidRPr="001A1786" w14:paraId="6130F322" w14:textId="77777777" w:rsidTr="00F20795">
        <w:trPr>
          <w:trHeight w:val="566"/>
        </w:trPr>
        <w:tc>
          <w:tcPr>
            <w:tcW w:w="9478" w:type="dxa"/>
            <w:gridSpan w:val="4"/>
            <w:noWrap/>
            <w:hideMark/>
          </w:tcPr>
          <w:p w14:paraId="6130F320" w14:textId="77777777" w:rsidR="00863AB5" w:rsidRPr="00F20795" w:rsidRDefault="00863AB5" w:rsidP="001A1786">
            <w:pPr>
              <w:rPr>
                <w:rFonts w:asciiTheme="minorHAnsi" w:eastAsia="Times New Roman" w:hAnsiTheme="minorHAnsi" w:cs="Times New Roman"/>
                <w:b/>
                <w:bCs/>
                <w:color w:val="000000"/>
                <w:sz w:val="22"/>
                <w:szCs w:val="22"/>
              </w:rPr>
            </w:pPr>
            <w:r w:rsidRPr="00F20795">
              <w:rPr>
                <w:rFonts w:asciiTheme="minorHAnsi" w:eastAsia="Times New Roman" w:hAnsiTheme="minorHAnsi" w:cs="Times New Roman"/>
                <w:b/>
                <w:bCs/>
                <w:color w:val="000000"/>
                <w:sz w:val="22"/>
                <w:szCs w:val="22"/>
              </w:rPr>
              <w:t>Ride with Someone /</w:t>
            </w:r>
          </w:p>
          <w:p w14:paraId="6130F321" w14:textId="77777777" w:rsidR="00863AB5" w:rsidRPr="00F20795" w:rsidRDefault="00863AB5">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b/>
                <w:bCs/>
                <w:color w:val="000000"/>
                <w:sz w:val="22"/>
                <w:szCs w:val="22"/>
              </w:rPr>
              <w:t>Chauffeured Cost</w:t>
            </w:r>
          </w:p>
        </w:tc>
      </w:tr>
      <w:tr w:rsidR="001A1786" w:rsidRPr="001A1786" w14:paraId="6130F327" w14:textId="77777777" w:rsidTr="00F20795">
        <w:trPr>
          <w:trHeight w:val="300"/>
        </w:trPr>
        <w:tc>
          <w:tcPr>
            <w:tcW w:w="2841" w:type="dxa"/>
            <w:shd w:val="clear" w:color="auto" w:fill="auto"/>
            <w:noWrap/>
            <w:hideMark/>
          </w:tcPr>
          <w:p w14:paraId="6130F323" w14:textId="77777777" w:rsidR="001A1786" w:rsidRPr="00F20795" w:rsidRDefault="001A1786" w:rsidP="001A1786">
            <w:pPr>
              <w:rPr>
                <w:rFonts w:asciiTheme="minorHAnsi" w:eastAsia="Times New Roman" w:hAnsiTheme="minorHAnsi" w:cs="Times New Roman"/>
                <w:b/>
                <w:bCs/>
                <w:color w:val="000000"/>
                <w:sz w:val="22"/>
                <w:szCs w:val="22"/>
                <w:u w:val="single"/>
              </w:rPr>
            </w:pPr>
          </w:p>
        </w:tc>
        <w:tc>
          <w:tcPr>
            <w:tcW w:w="2803" w:type="dxa"/>
            <w:shd w:val="clear" w:color="auto" w:fill="auto"/>
            <w:noWrap/>
            <w:hideMark/>
          </w:tcPr>
          <w:p w14:paraId="6130F324" w14:textId="77777777" w:rsidR="001A1786" w:rsidRPr="00F20795" w:rsidRDefault="00777992" w:rsidP="001A1786">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[(Trips x 50%) x</w:t>
            </w:r>
            <w:r w:rsidR="001A1786" w:rsidRPr="00F20795">
              <w:rPr>
                <w:rFonts w:asciiTheme="minorHAnsi" w:eastAsia="Times New Roman" w:hAnsiTheme="minorHAnsi" w:cs="Times New Roman"/>
                <w:color w:val="000000"/>
                <w:sz w:val="22"/>
                <w:szCs w:val="22"/>
              </w:rPr>
              <w:t xml:space="preserve"> Avg. Trip Dist. x $1.05]</w:t>
            </w:r>
          </w:p>
        </w:tc>
        <w:tc>
          <w:tcPr>
            <w:tcW w:w="2466" w:type="dxa"/>
            <w:shd w:val="clear" w:color="auto" w:fill="auto"/>
            <w:noWrap/>
            <w:hideMark/>
          </w:tcPr>
          <w:p w14:paraId="6130F325" w14:textId="77777777" w:rsidR="001A1786" w:rsidRPr="00F20795" w:rsidRDefault="001A1786" w:rsidP="003D303D">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[(Trips x %) x Avg. Trip Dist. x $0.3</w:t>
            </w:r>
            <w:r w:rsidR="003D303D" w:rsidRPr="00F20795">
              <w:rPr>
                <w:rFonts w:asciiTheme="minorHAnsi" w:eastAsia="Times New Roman" w:hAnsiTheme="minorHAnsi" w:cs="Times New Roman"/>
                <w:color w:val="000000"/>
                <w:sz w:val="22"/>
                <w:szCs w:val="22"/>
              </w:rPr>
              <w:t>3</w:t>
            </w:r>
            <w:r w:rsidRPr="00F20795">
              <w:rPr>
                <w:rFonts w:asciiTheme="minorHAnsi" w:eastAsia="Times New Roman" w:hAnsiTheme="minorHAnsi" w:cs="Times New Roman"/>
                <w:color w:val="000000"/>
                <w:sz w:val="22"/>
                <w:szCs w:val="22"/>
              </w:rPr>
              <w:t>]</w:t>
            </w:r>
          </w:p>
        </w:tc>
        <w:tc>
          <w:tcPr>
            <w:tcW w:w="1368" w:type="dxa"/>
            <w:shd w:val="clear" w:color="auto" w:fill="auto"/>
            <w:noWrap/>
            <w:hideMark/>
          </w:tcPr>
          <w:p w14:paraId="6130F326" w14:textId="77777777" w:rsidR="001A1786" w:rsidRPr="00F20795" w:rsidRDefault="001A1786" w:rsidP="001A1786">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w:t>
            </w:r>
          </w:p>
        </w:tc>
      </w:tr>
      <w:tr w:rsidR="001A1786" w:rsidRPr="001A1786" w14:paraId="6130F32C" w14:textId="77777777" w:rsidTr="00F20795">
        <w:trPr>
          <w:trHeight w:val="300"/>
        </w:trPr>
        <w:tc>
          <w:tcPr>
            <w:tcW w:w="2841" w:type="dxa"/>
            <w:shd w:val="clear" w:color="auto" w:fill="auto"/>
            <w:hideMark/>
          </w:tcPr>
          <w:p w14:paraId="6130F328" w14:textId="77777777" w:rsidR="001A1786" w:rsidRPr="00F20795" w:rsidRDefault="001A1786" w:rsidP="001A1786">
            <w:pPr>
              <w:rPr>
                <w:rFonts w:asciiTheme="minorHAnsi" w:eastAsia="Times New Roman" w:hAnsiTheme="minorHAnsi" w:cs="Times New Roman"/>
                <w:b/>
                <w:bCs/>
                <w:color w:val="000000"/>
                <w:sz w:val="22"/>
                <w:szCs w:val="22"/>
              </w:rPr>
            </w:pPr>
            <w:r w:rsidRPr="00F20795">
              <w:rPr>
                <w:rFonts w:asciiTheme="minorHAnsi" w:eastAsia="Times New Roman" w:hAnsiTheme="minorHAnsi" w:cs="Times New Roman"/>
                <w:b/>
                <w:bCs/>
                <w:color w:val="000000"/>
                <w:sz w:val="22"/>
                <w:szCs w:val="22"/>
              </w:rPr>
              <w:t>T.O. Estimates</w:t>
            </w:r>
          </w:p>
        </w:tc>
        <w:tc>
          <w:tcPr>
            <w:tcW w:w="2803" w:type="dxa"/>
            <w:shd w:val="clear" w:color="auto" w:fill="auto"/>
            <w:noWrap/>
            <w:hideMark/>
          </w:tcPr>
          <w:p w14:paraId="6130F329" w14:textId="77777777" w:rsidR="001A1786" w:rsidRPr="00F20795" w:rsidRDefault="00777992" w:rsidP="00777992">
            <w:pPr>
              <w:jc w:val="center"/>
              <w:rPr>
                <w:rFonts w:asciiTheme="minorHAnsi" w:eastAsia="Times New Roman" w:hAnsiTheme="minorHAnsi" w:cs="Times New Roman"/>
                <w:b/>
                <w:color w:val="000000"/>
                <w:sz w:val="22"/>
                <w:szCs w:val="22"/>
              </w:rPr>
            </w:pPr>
            <w:r w:rsidRPr="00F20795">
              <w:rPr>
                <w:rFonts w:asciiTheme="minorHAnsi" w:eastAsia="Times New Roman" w:hAnsiTheme="minorHAnsi" w:cs="Times New Roman"/>
                <w:b/>
                <w:color w:val="000000"/>
                <w:sz w:val="22"/>
                <w:szCs w:val="22"/>
              </w:rPr>
              <w:t>Chauffeured Costs</w:t>
            </w:r>
          </w:p>
        </w:tc>
        <w:tc>
          <w:tcPr>
            <w:tcW w:w="2466" w:type="dxa"/>
            <w:shd w:val="clear" w:color="auto" w:fill="auto"/>
            <w:noWrap/>
            <w:hideMark/>
          </w:tcPr>
          <w:p w14:paraId="6130F32A" w14:textId="77777777" w:rsidR="001A1786" w:rsidRPr="00F20795" w:rsidRDefault="001A1786" w:rsidP="001A1786">
            <w:pPr>
              <w:jc w:val="center"/>
              <w:rPr>
                <w:rFonts w:asciiTheme="minorHAnsi" w:eastAsia="Times New Roman" w:hAnsiTheme="minorHAnsi" w:cs="Times New Roman"/>
                <w:b/>
                <w:bCs/>
                <w:color w:val="000000"/>
                <w:sz w:val="22"/>
                <w:szCs w:val="22"/>
              </w:rPr>
            </w:pPr>
            <w:r w:rsidRPr="00F20795">
              <w:rPr>
                <w:rFonts w:asciiTheme="minorHAnsi" w:eastAsia="Times New Roman" w:hAnsiTheme="minorHAnsi" w:cs="Times New Roman"/>
                <w:b/>
                <w:bCs/>
                <w:color w:val="000000"/>
                <w:sz w:val="22"/>
                <w:szCs w:val="22"/>
              </w:rPr>
              <w:t>Transit</w:t>
            </w:r>
          </w:p>
        </w:tc>
        <w:tc>
          <w:tcPr>
            <w:tcW w:w="1368" w:type="dxa"/>
            <w:shd w:val="clear" w:color="auto" w:fill="auto"/>
            <w:noWrap/>
            <w:hideMark/>
          </w:tcPr>
          <w:p w14:paraId="6130F32B" w14:textId="77777777" w:rsidR="001A1786" w:rsidRPr="00F20795" w:rsidRDefault="001A1786" w:rsidP="001A1786">
            <w:pPr>
              <w:rPr>
                <w:rFonts w:asciiTheme="minorHAnsi" w:eastAsia="Times New Roman" w:hAnsiTheme="minorHAnsi" w:cs="Times New Roman"/>
                <w:b/>
                <w:bCs/>
                <w:color w:val="000000"/>
                <w:sz w:val="22"/>
                <w:szCs w:val="22"/>
              </w:rPr>
            </w:pPr>
            <w:r w:rsidRPr="00F20795">
              <w:rPr>
                <w:rFonts w:asciiTheme="minorHAnsi" w:eastAsia="Times New Roman" w:hAnsiTheme="minorHAnsi" w:cs="Times New Roman"/>
                <w:b/>
                <w:bCs/>
                <w:color w:val="000000"/>
                <w:sz w:val="22"/>
                <w:szCs w:val="22"/>
              </w:rPr>
              <w:t>Net Savings</w:t>
            </w:r>
          </w:p>
        </w:tc>
      </w:tr>
      <w:tr w:rsidR="001A1786" w:rsidRPr="001A1786" w14:paraId="6130F331" w14:textId="77777777" w:rsidTr="00F20795">
        <w:trPr>
          <w:trHeight w:val="423"/>
        </w:trPr>
        <w:tc>
          <w:tcPr>
            <w:tcW w:w="2841" w:type="dxa"/>
            <w:shd w:val="clear" w:color="auto" w:fill="auto"/>
            <w:hideMark/>
          </w:tcPr>
          <w:p w14:paraId="6130F32D" w14:textId="77777777" w:rsidR="001A1786" w:rsidRPr="00F20795" w:rsidRDefault="001A1786" w:rsidP="001A1786">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Annual Cost</w:t>
            </w:r>
          </w:p>
        </w:tc>
        <w:tc>
          <w:tcPr>
            <w:tcW w:w="2803" w:type="dxa"/>
            <w:shd w:val="clear" w:color="auto" w:fill="auto"/>
            <w:noWrap/>
            <w:hideMark/>
          </w:tcPr>
          <w:p w14:paraId="6130F32E" w14:textId="77777777" w:rsidR="001A1786" w:rsidRPr="00F20795" w:rsidRDefault="00DA2586" w:rsidP="001A1786">
            <w:pPr>
              <w:jc w:val="center"/>
              <w:rPr>
                <w:rFonts w:asciiTheme="minorHAnsi" w:eastAsia="Times New Roman" w:hAnsiTheme="minorHAnsi" w:cs="Times New Roman"/>
                <w:color w:val="000000"/>
                <w:sz w:val="22"/>
                <w:szCs w:val="22"/>
              </w:rPr>
            </w:pPr>
            <w:r>
              <w:rPr>
                <w:rFonts w:asciiTheme="minorHAnsi" w:eastAsia="Times New Roman" w:hAnsiTheme="minorHAnsi" w:cs="Times New Roman"/>
                <w:color w:val="000000"/>
                <w:sz w:val="22"/>
                <w:szCs w:val="22"/>
              </w:rPr>
              <w:t xml:space="preserve"> </w:t>
            </w:r>
            <w:r w:rsidR="001A1786" w:rsidRPr="00F20795">
              <w:rPr>
                <w:rFonts w:asciiTheme="minorHAnsi" w:eastAsia="Times New Roman" w:hAnsiTheme="minorHAnsi" w:cs="Times New Roman"/>
                <w:color w:val="000000"/>
                <w:sz w:val="22"/>
                <w:szCs w:val="22"/>
              </w:rPr>
              <w:t xml:space="preserve">$                           </w:t>
            </w:r>
            <w:r>
              <w:rPr>
                <w:rFonts w:asciiTheme="minorHAnsi" w:eastAsia="Times New Roman" w:hAnsiTheme="minorHAnsi" w:cs="Times New Roman"/>
                <w:color w:val="000000"/>
                <w:sz w:val="22"/>
                <w:szCs w:val="22"/>
              </w:rPr>
              <w:t xml:space="preserve">  </w:t>
            </w:r>
            <w:r w:rsidR="001A1786" w:rsidRPr="00F20795">
              <w:rPr>
                <w:rFonts w:asciiTheme="minorHAnsi" w:eastAsia="Times New Roman" w:hAnsiTheme="minorHAnsi" w:cs="Times New Roman"/>
                <w:color w:val="000000"/>
                <w:sz w:val="22"/>
                <w:szCs w:val="22"/>
              </w:rPr>
              <w:t>11,347.56</w:t>
            </w:r>
          </w:p>
        </w:tc>
        <w:tc>
          <w:tcPr>
            <w:tcW w:w="2466" w:type="dxa"/>
            <w:shd w:val="clear" w:color="auto" w:fill="auto"/>
            <w:noWrap/>
            <w:hideMark/>
          </w:tcPr>
          <w:p w14:paraId="6130F32F" w14:textId="77777777" w:rsidR="001A1786" w:rsidRPr="00F20795" w:rsidRDefault="001A1786" w:rsidP="001A1786">
            <w:pPr>
              <w:jc w:val="cente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10,807.20</w:t>
            </w:r>
          </w:p>
        </w:tc>
        <w:tc>
          <w:tcPr>
            <w:tcW w:w="1368" w:type="dxa"/>
            <w:shd w:val="clear" w:color="auto" w:fill="auto"/>
            <w:noWrap/>
            <w:hideMark/>
          </w:tcPr>
          <w:p w14:paraId="6130F330" w14:textId="77777777" w:rsidR="001A1786" w:rsidRPr="00F20795" w:rsidRDefault="001A1786" w:rsidP="001A1786">
            <w:pPr>
              <w:jc w:val="cente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540.36</w:t>
            </w:r>
          </w:p>
        </w:tc>
      </w:tr>
      <w:tr w:rsidR="001A1786" w:rsidRPr="001A1786" w14:paraId="6130F336" w14:textId="77777777" w:rsidTr="00F20795">
        <w:trPr>
          <w:trHeight w:val="300"/>
        </w:trPr>
        <w:tc>
          <w:tcPr>
            <w:tcW w:w="2841" w:type="dxa"/>
            <w:shd w:val="clear" w:color="auto" w:fill="auto"/>
            <w:hideMark/>
          </w:tcPr>
          <w:p w14:paraId="6130F332" w14:textId="77777777" w:rsidR="001A1786" w:rsidRPr="00F20795" w:rsidRDefault="001A1786" w:rsidP="001A1786">
            <w:pP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Cost per Trip (Annual Cost/% of Trips)</w:t>
            </w:r>
          </w:p>
        </w:tc>
        <w:tc>
          <w:tcPr>
            <w:tcW w:w="2803" w:type="dxa"/>
            <w:shd w:val="clear" w:color="auto" w:fill="auto"/>
            <w:noWrap/>
            <w:hideMark/>
          </w:tcPr>
          <w:p w14:paraId="6130F333" w14:textId="77777777" w:rsidR="001A1786" w:rsidRPr="00F20795" w:rsidRDefault="00DA2586" w:rsidP="009165A0">
            <w:pPr>
              <w:jc w:val="center"/>
              <w:rPr>
                <w:rFonts w:asciiTheme="minorHAnsi" w:eastAsia="Times New Roman" w:hAnsiTheme="minorHAnsi" w:cs="Times New Roman"/>
                <w:color w:val="000000"/>
                <w:sz w:val="22"/>
                <w:szCs w:val="22"/>
              </w:rPr>
            </w:pPr>
            <w:r>
              <w:rPr>
                <w:rFonts w:asciiTheme="minorHAnsi" w:eastAsia="Times New Roman" w:hAnsiTheme="minorHAnsi" w:cs="Times New Roman"/>
                <w:color w:val="000000"/>
                <w:sz w:val="22"/>
                <w:szCs w:val="22"/>
              </w:rPr>
              <w:t xml:space="preserve"> </w:t>
            </w:r>
            <w:r w:rsidR="001A1786" w:rsidRPr="00F20795">
              <w:rPr>
                <w:rFonts w:asciiTheme="minorHAnsi" w:eastAsia="Times New Roman" w:hAnsiTheme="minorHAnsi" w:cs="Times New Roman"/>
                <w:color w:val="000000"/>
                <w:sz w:val="22"/>
                <w:szCs w:val="22"/>
              </w:rPr>
              <w:t xml:space="preserve">$                                     </w:t>
            </w:r>
            <w:r>
              <w:rPr>
                <w:rFonts w:asciiTheme="minorHAnsi" w:eastAsia="Times New Roman" w:hAnsiTheme="minorHAnsi" w:cs="Times New Roman"/>
                <w:color w:val="000000"/>
                <w:sz w:val="22"/>
                <w:szCs w:val="22"/>
              </w:rPr>
              <w:t xml:space="preserve">  </w:t>
            </w:r>
            <w:r w:rsidR="001A1786" w:rsidRPr="00F20795">
              <w:rPr>
                <w:rFonts w:asciiTheme="minorHAnsi" w:eastAsia="Times New Roman" w:hAnsiTheme="minorHAnsi" w:cs="Times New Roman"/>
                <w:color w:val="000000"/>
                <w:sz w:val="22"/>
                <w:szCs w:val="22"/>
              </w:rPr>
              <w:t>1.58</w:t>
            </w:r>
          </w:p>
        </w:tc>
        <w:tc>
          <w:tcPr>
            <w:tcW w:w="2466" w:type="dxa"/>
            <w:shd w:val="clear" w:color="auto" w:fill="auto"/>
            <w:noWrap/>
            <w:hideMark/>
          </w:tcPr>
          <w:p w14:paraId="6130F334" w14:textId="77777777" w:rsidR="001A1786" w:rsidRPr="00F20795" w:rsidRDefault="001A1786" w:rsidP="001A1786">
            <w:pPr>
              <w:jc w:val="cente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1.50</w:t>
            </w:r>
          </w:p>
        </w:tc>
        <w:tc>
          <w:tcPr>
            <w:tcW w:w="1368" w:type="dxa"/>
            <w:shd w:val="clear" w:color="auto" w:fill="auto"/>
            <w:noWrap/>
            <w:hideMark/>
          </w:tcPr>
          <w:p w14:paraId="6130F335" w14:textId="77777777" w:rsidR="001A1786" w:rsidRPr="00F20795" w:rsidRDefault="001A1786" w:rsidP="001A1786">
            <w:pPr>
              <w:jc w:val="center"/>
              <w:rPr>
                <w:rFonts w:asciiTheme="minorHAnsi" w:eastAsia="Times New Roman" w:hAnsiTheme="minorHAnsi" w:cs="Times New Roman"/>
                <w:color w:val="000000"/>
                <w:sz w:val="22"/>
                <w:szCs w:val="22"/>
              </w:rPr>
            </w:pPr>
            <w:r w:rsidRPr="00F20795">
              <w:rPr>
                <w:rFonts w:asciiTheme="minorHAnsi" w:eastAsia="Times New Roman" w:hAnsiTheme="minorHAnsi" w:cs="Times New Roman"/>
                <w:color w:val="000000"/>
                <w:sz w:val="22"/>
                <w:szCs w:val="22"/>
              </w:rPr>
              <w:t>$           0.08</w:t>
            </w:r>
          </w:p>
        </w:tc>
      </w:tr>
    </w:tbl>
    <w:p w14:paraId="6130F337" w14:textId="77777777" w:rsidR="001A1786" w:rsidRDefault="001A1786" w:rsidP="00044197">
      <w:pPr>
        <w:rPr>
          <w:sz w:val="22"/>
          <w:szCs w:val="22"/>
        </w:rPr>
      </w:pPr>
    </w:p>
    <w:p w14:paraId="6130F338" w14:textId="77777777" w:rsidR="00044197" w:rsidRDefault="00044197" w:rsidP="00044197">
      <w:pPr>
        <w:rPr>
          <w:sz w:val="22"/>
          <w:szCs w:val="22"/>
        </w:rPr>
      </w:pPr>
    </w:p>
    <w:p w14:paraId="6130F339" w14:textId="77777777" w:rsidR="00044197" w:rsidRPr="00E33C92" w:rsidRDefault="00044197" w:rsidP="00333201">
      <w:pPr>
        <w:pStyle w:val="Subtitle"/>
        <w:numPr>
          <w:ilvl w:val="0"/>
          <w:numId w:val="3"/>
        </w:numPr>
      </w:pPr>
      <w:r w:rsidRPr="00E33C92">
        <w:t>Taxi Fare Savings</w:t>
      </w:r>
    </w:p>
    <w:p w14:paraId="6130F33A" w14:textId="77777777" w:rsidR="00044197" w:rsidRDefault="00044197" w:rsidP="00044197">
      <w:pPr>
        <w:rPr>
          <w:highlight w:val="yellow"/>
        </w:rPr>
      </w:pPr>
    </w:p>
    <w:p w14:paraId="6130F33B" w14:textId="77777777" w:rsidR="00044197" w:rsidRPr="00854619" w:rsidRDefault="00044197" w:rsidP="00F20795">
      <w:pPr>
        <w:jc w:val="both"/>
        <w:rPr>
          <w:rFonts w:asciiTheme="minorHAnsi" w:hAnsiTheme="minorHAnsi"/>
          <w:szCs w:val="22"/>
        </w:rPr>
      </w:pPr>
      <w:r w:rsidRPr="00854619">
        <w:rPr>
          <w:rFonts w:asciiTheme="minorHAnsi" w:hAnsiTheme="minorHAnsi"/>
          <w:szCs w:val="22"/>
        </w:rPr>
        <w:t>Taxi trips can be very expensive. The HDR cost-benefit study for South Dakota public transit used a taxi base fare of $2.23 for urbanized areas and $8.00 for small urban areas per taxi trip for their analysis (HDR Decision Economics 2011). Litman (2012) suggested an average taxi fare of $2.25 per mile to determine the avoided taxi trips cost savings. Therefore, average taxi fare of $2.25 per mile was used to calculate the cost savings from taxi trips for small urban and rural areas</w:t>
      </w:r>
      <w:r w:rsidR="00F371B1">
        <w:rPr>
          <w:rFonts w:asciiTheme="minorHAnsi" w:hAnsiTheme="minorHAnsi"/>
          <w:szCs w:val="22"/>
        </w:rPr>
        <w:t>. This rate is comparable to local taxi companies currently operating in Valdosta-Lowndes County</w:t>
      </w:r>
      <w:r w:rsidRPr="00854619">
        <w:rPr>
          <w:rFonts w:asciiTheme="minorHAnsi" w:hAnsiTheme="minorHAnsi"/>
          <w:szCs w:val="22"/>
        </w:rPr>
        <w:t xml:space="preserve"> </w:t>
      </w:r>
    </w:p>
    <w:p w14:paraId="6130F33C" w14:textId="77777777" w:rsidR="00044197" w:rsidRDefault="00044197" w:rsidP="00044197">
      <w:pPr>
        <w:rPr>
          <w:sz w:val="22"/>
          <w:szCs w:val="22"/>
        </w:rPr>
      </w:pPr>
    </w:p>
    <w:tbl>
      <w:tblPr>
        <w:tblW w:w="0" w:type="auto"/>
        <w:tblLook w:val="04A0" w:firstRow="1" w:lastRow="0" w:firstColumn="1" w:lastColumn="0" w:noHBand="0" w:noVBand="1"/>
      </w:tblPr>
      <w:tblGrid>
        <w:gridCol w:w="2593"/>
        <w:gridCol w:w="2585"/>
        <w:gridCol w:w="2455"/>
        <w:gridCol w:w="1943"/>
      </w:tblGrid>
      <w:tr w:rsidR="00863AB5" w:rsidRPr="003034DB" w14:paraId="6130F33E" w14:textId="77777777" w:rsidTr="00B72E89">
        <w:trPr>
          <w:trHeight w:val="300"/>
        </w:trPr>
        <w:tc>
          <w:tcPr>
            <w:tcW w:w="9576" w:type="dxa"/>
            <w:gridSpan w:val="4"/>
            <w:noWrap/>
            <w:hideMark/>
          </w:tcPr>
          <w:p w14:paraId="6130F33D" w14:textId="77777777" w:rsidR="00863AB5" w:rsidRPr="003034DB" w:rsidRDefault="00863AB5">
            <w:pPr>
              <w:rPr>
                <w:rFonts w:asciiTheme="minorHAnsi" w:hAnsiTheme="minorHAnsi"/>
                <w:sz w:val="22"/>
                <w:szCs w:val="22"/>
              </w:rPr>
            </w:pPr>
            <w:r w:rsidRPr="00F20795">
              <w:rPr>
                <w:rFonts w:asciiTheme="minorHAnsi" w:hAnsiTheme="minorHAnsi"/>
                <w:b/>
                <w:bCs/>
                <w:sz w:val="22"/>
                <w:szCs w:val="22"/>
              </w:rPr>
              <w:t>Taxi Fare Costs</w:t>
            </w:r>
            <w:r w:rsidRPr="003034DB">
              <w:rPr>
                <w:rFonts w:asciiTheme="minorHAnsi" w:hAnsiTheme="minorHAnsi"/>
                <w:sz w:val="22"/>
                <w:szCs w:val="22"/>
              </w:rPr>
              <w:t> </w:t>
            </w:r>
          </w:p>
        </w:tc>
      </w:tr>
      <w:tr w:rsidR="001A1786" w:rsidRPr="003034DB" w14:paraId="6130F343" w14:textId="77777777" w:rsidTr="00863AB5">
        <w:trPr>
          <w:trHeight w:val="300"/>
        </w:trPr>
        <w:tc>
          <w:tcPr>
            <w:tcW w:w="2593" w:type="dxa"/>
            <w:noWrap/>
            <w:hideMark/>
          </w:tcPr>
          <w:p w14:paraId="6130F33F" w14:textId="77777777" w:rsidR="001A1786" w:rsidRPr="003034DB" w:rsidRDefault="001A1786">
            <w:pPr>
              <w:rPr>
                <w:rFonts w:asciiTheme="minorHAnsi" w:hAnsiTheme="minorHAnsi"/>
                <w:b/>
                <w:bCs/>
                <w:sz w:val="22"/>
                <w:szCs w:val="22"/>
                <w:u w:val="single"/>
              </w:rPr>
            </w:pPr>
          </w:p>
        </w:tc>
        <w:tc>
          <w:tcPr>
            <w:tcW w:w="2585" w:type="dxa"/>
            <w:noWrap/>
            <w:hideMark/>
          </w:tcPr>
          <w:p w14:paraId="6130F340" w14:textId="77777777" w:rsidR="001A1786" w:rsidRPr="003034DB" w:rsidRDefault="00777992">
            <w:pPr>
              <w:rPr>
                <w:rFonts w:asciiTheme="minorHAnsi" w:hAnsiTheme="minorHAnsi"/>
                <w:sz w:val="22"/>
                <w:szCs w:val="22"/>
              </w:rPr>
            </w:pPr>
            <w:r w:rsidRPr="003034DB">
              <w:rPr>
                <w:rFonts w:asciiTheme="minorHAnsi" w:hAnsiTheme="minorHAnsi"/>
                <w:sz w:val="22"/>
                <w:szCs w:val="22"/>
              </w:rPr>
              <w:t>[(Trips x Avg. Trip Dist. x</w:t>
            </w:r>
            <w:r w:rsidR="001A1786" w:rsidRPr="003034DB">
              <w:rPr>
                <w:rFonts w:asciiTheme="minorHAnsi" w:hAnsiTheme="minorHAnsi"/>
                <w:sz w:val="22"/>
                <w:szCs w:val="22"/>
              </w:rPr>
              <w:t xml:space="preserve"> $2.25]</w:t>
            </w:r>
          </w:p>
        </w:tc>
        <w:tc>
          <w:tcPr>
            <w:tcW w:w="2455" w:type="dxa"/>
            <w:noWrap/>
            <w:hideMark/>
          </w:tcPr>
          <w:p w14:paraId="6130F341" w14:textId="77777777" w:rsidR="001A1786" w:rsidRPr="003034DB" w:rsidRDefault="00777992" w:rsidP="003D303D">
            <w:pPr>
              <w:rPr>
                <w:rFonts w:asciiTheme="minorHAnsi" w:hAnsiTheme="minorHAnsi"/>
                <w:sz w:val="22"/>
                <w:szCs w:val="22"/>
              </w:rPr>
            </w:pPr>
            <w:r w:rsidRPr="003034DB">
              <w:rPr>
                <w:rFonts w:asciiTheme="minorHAnsi" w:hAnsiTheme="minorHAnsi"/>
                <w:sz w:val="22"/>
                <w:szCs w:val="22"/>
              </w:rPr>
              <w:t>[(Trips x Avg. Trip Dist. x</w:t>
            </w:r>
            <w:r w:rsidR="001A1786" w:rsidRPr="003034DB">
              <w:rPr>
                <w:rFonts w:asciiTheme="minorHAnsi" w:hAnsiTheme="minorHAnsi"/>
                <w:sz w:val="22"/>
                <w:szCs w:val="22"/>
              </w:rPr>
              <w:t xml:space="preserve"> $0.3</w:t>
            </w:r>
            <w:r w:rsidR="003D303D" w:rsidRPr="003034DB">
              <w:rPr>
                <w:rFonts w:asciiTheme="minorHAnsi" w:hAnsiTheme="minorHAnsi"/>
                <w:sz w:val="22"/>
                <w:szCs w:val="22"/>
              </w:rPr>
              <w:t>3</w:t>
            </w:r>
            <w:r w:rsidR="001A1786" w:rsidRPr="003034DB">
              <w:rPr>
                <w:rFonts w:asciiTheme="minorHAnsi" w:hAnsiTheme="minorHAnsi"/>
                <w:sz w:val="22"/>
                <w:szCs w:val="22"/>
              </w:rPr>
              <w:t>]</w:t>
            </w:r>
          </w:p>
        </w:tc>
        <w:tc>
          <w:tcPr>
            <w:tcW w:w="1943" w:type="dxa"/>
            <w:noWrap/>
            <w:hideMark/>
          </w:tcPr>
          <w:p w14:paraId="6130F342" w14:textId="77777777" w:rsidR="001A1786" w:rsidRPr="003034DB" w:rsidRDefault="001A1786">
            <w:pPr>
              <w:rPr>
                <w:rFonts w:asciiTheme="minorHAnsi" w:hAnsiTheme="minorHAnsi"/>
                <w:sz w:val="22"/>
                <w:szCs w:val="22"/>
              </w:rPr>
            </w:pPr>
            <w:r w:rsidRPr="003034DB">
              <w:rPr>
                <w:rFonts w:asciiTheme="minorHAnsi" w:hAnsiTheme="minorHAnsi"/>
                <w:sz w:val="22"/>
                <w:szCs w:val="22"/>
              </w:rPr>
              <w:t> </w:t>
            </w:r>
          </w:p>
        </w:tc>
      </w:tr>
      <w:tr w:rsidR="001A1786" w:rsidRPr="003034DB" w14:paraId="6130F348" w14:textId="77777777" w:rsidTr="00863AB5">
        <w:trPr>
          <w:trHeight w:val="300"/>
        </w:trPr>
        <w:tc>
          <w:tcPr>
            <w:tcW w:w="2593" w:type="dxa"/>
            <w:hideMark/>
          </w:tcPr>
          <w:p w14:paraId="6130F344" w14:textId="77777777" w:rsidR="001A1786" w:rsidRPr="009165A0" w:rsidRDefault="001A1786">
            <w:pPr>
              <w:rPr>
                <w:rFonts w:asciiTheme="minorHAnsi" w:hAnsiTheme="minorHAnsi"/>
                <w:b/>
                <w:bCs/>
                <w:sz w:val="22"/>
                <w:szCs w:val="22"/>
              </w:rPr>
            </w:pPr>
            <w:r w:rsidRPr="009165A0">
              <w:rPr>
                <w:rFonts w:asciiTheme="minorHAnsi" w:hAnsiTheme="minorHAnsi"/>
                <w:b/>
                <w:bCs/>
                <w:sz w:val="22"/>
                <w:szCs w:val="22"/>
              </w:rPr>
              <w:t>T.O. Estimates</w:t>
            </w:r>
          </w:p>
        </w:tc>
        <w:tc>
          <w:tcPr>
            <w:tcW w:w="2585" w:type="dxa"/>
            <w:noWrap/>
            <w:hideMark/>
          </w:tcPr>
          <w:p w14:paraId="6130F345" w14:textId="77777777" w:rsidR="001A1786" w:rsidRPr="003034DB" w:rsidRDefault="001A1786">
            <w:pPr>
              <w:rPr>
                <w:rFonts w:asciiTheme="minorHAnsi" w:hAnsiTheme="minorHAnsi"/>
                <w:sz w:val="22"/>
                <w:szCs w:val="22"/>
              </w:rPr>
            </w:pPr>
          </w:p>
        </w:tc>
        <w:tc>
          <w:tcPr>
            <w:tcW w:w="2455" w:type="dxa"/>
            <w:noWrap/>
            <w:hideMark/>
          </w:tcPr>
          <w:p w14:paraId="6130F346" w14:textId="77777777" w:rsidR="001A1786" w:rsidRPr="003034DB" w:rsidRDefault="001A1786" w:rsidP="001A1786">
            <w:pPr>
              <w:rPr>
                <w:rFonts w:asciiTheme="minorHAnsi" w:hAnsiTheme="minorHAnsi"/>
                <w:b/>
                <w:bCs/>
                <w:sz w:val="22"/>
                <w:szCs w:val="22"/>
              </w:rPr>
            </w:pPr>
            <w:r w:rsidRPr="003034DB">
              <w:rPr>
                <w:rFonts w:asciiTheme="minorHAnsi" w:hAnsiTheme="minorHAnsi"/>
                <w:b/>
                <w:bCs/>
                <w:sz w:val="22"/>
                <w:szCs w:val="22"/>
              </w:rPr>
              <w:t>Transit</w:t>
            </w:r>
          </w:p>
        </w:tc>
        <w:tc>
          <w:tcPr>
            <w:tcW w:w="1943" w:type="dxa"/>
            <w:noWrap/>
            <w:hideMark/>
          </w:tcPr>
          <w:p w14:paraId="6130F347" w14:textId="77777777" w:rsidR="001A1786" w:rsidRPr="003034DB" w:rsidRDefault="001A1786">
            <w:pPr>
              <w:rPr>
                <w:rFonts w:asciiTheme="minorHAnsi" w:hAnsiTheme="minorHAnsi"/>
                <w:b/>
                <w:bCs/>
                <w:sz w:val="22"/>
                <w:szCs w:val="22"/>
              </w:rPr>
            </w:pPr>
            <w:r w:rsidRPr="003034DB">
              <w:rPr>
                <w:rFonts w:asciiTheme="minorHAnsi" w:hAnsiTheme="minorHAnsi"/>
                <w:b/>
                <w:bCs/>
                <w:sz w:val="22"/>
                <w:szCs w:val="22"/>
              </w:rPr>
              <w:t>Net Savings</w:t>
            </w:r>
          </w:p>
        </w:tc>
      </w:tr>
      <w:tr w:rsidR="001A1786" w:rsidRPr="003034DB" w14:paraId="6130F34D" w14:textId="77777777" w:rsidTr="00863AB5">
        <w:trPr>
          <w:trHeight w:val="300"/>
        </w:trPr>
        <w:tc>
          <w:tcPr>
            <w:tcW w:w="2593" w:type="dxa"/>
            <w:hideMark/>
          </w:tcPr>
          <w:p w14:paraId="6130F349" w14:textId="77777777" w:rsidR="001A1786" w:rsidRPr="009165A0" w:rsidRDefault="001A1786">
            <w:pPr>
              <w:rPr>
                <w:rFonts w:asciiTheme="minorHAnsi" w:hAnsiTheme="minorHAnsi"/>
                <w:sz w:val="22"/>
                <w:szCs w:val="22"/>
              </w:rPr>
            </w:pPr>
            <w:r w:rsidRPr="009165A0">
              <w:rPr>
                <w:rFonts w:asciiTheme="minorHAnsi" w:hAnsiTheme="minorHAnsi"/>
                <w:sz w:val="22"/>
                <w:szCs w:val="22"/>
              </w:rPr>
              <w:t>Annual Cost</w:t>
            </w:r>
          </w:p>
        </w:tc>
        <w:tc>
          <w:tcPr>
            <w:tcW w:w="2585" w:type="dxa"/>
            <w:noWrap/>
            <w:vAlign w:val="center"/>
            <w:hideMark/>
          </w:tcPr>
          <w:p w14:paraId="6130F34A" w14:textId="77777777" w:rsidR="001A1786" w:rsidRPr="003034DB" w:rsidRDefault="001A1786" w:rsidP="001A1786">
            <w:pPr>
              <w:jc w:val="center"/>
              <w:rPr>
                <w:rFonts w:asciiTheme="minorHAnsi" w:hAnsiTheme="minorHAnsi"/>
                <w:sz w:val="22"/>
                <w:szCs w:val="22"/>
              </w:rPr>
            </w:pPr>
            <w:r w:rsidRPr="003034DB">
              <w:rPr>
                <w:rFonts w:asciiTheme="minorHAnsi" w:hAnsiTheme="minorHAnsi"/>
                <w:sz w:val="22"/>
                <w:szCs w:val="22"/>
              </w:rPr>
              <w:t>$                        24,956.10</w:t>
            </w:r>
          </w:p>
        </w:tc>
        <w:tc>
          <w:tcPr>
            <w:tcW w:w="2455" w:type="dxa"/>
            <w:noWrap/>
            <w:vAlign w:val="center"/>
            <w:hideMark/>
          </w:tcPr>
          <w:p w14:paraId="6130F34B" w14:textId="77777777" w:rsidR="001A1786" w:rsidRPr="003034DB" w:rsidRDefault="001A1786" w:rsidP="001A1786">
            <w:pPr>
              <w:jc w:val="center"/>
              <w:rPr>
                <w:rFonts w:asciiTheme="minorHAnsi" w:hAnsiTheme="minorHAnsi"/>
                <w:sz w:val="22"/>
                <w:szCs w:val="22"/>
              </w:rPr>
            </w:pPr>
            <w:r w:rsidRPr="003034DB">
              <w:rPr>
                <w:rFonts w:asciiTheme="minorHAnsi" w:hAnsiTheme="minorHAnsi"/>
                <w:sz w:val="22"/>
                <w:szCs w:val="22"/>
              </w:rPr>
              <w:t>$                      3,327.48</w:t>
            </w:r>
          </w:p>
        </w:tc>
        <w:tc>
          <w:tcPr>
            <w:tcW w:w="1943" w:type="dxa"/>
            <w:noWrap/>
            <w:vAlign w:val="center"/>
            <w:hideMark/>
          </w:tcPr>
          <w:p w14:paraId="6130F34C" w14:textId="77777777" w:rsidR="001A1786" w:rsidRPr="003034DB" w:rsidRDefault="001A1786" w:rsidP="001A1786">
            <w:pPr>
              <w:jc w:val="center"/>
              <w:rPr>
                <w:rFonts w:asciiTheme="minorHAnsi" w:hAnsiTheme="minorHAnsi"/>
                <w:sz w:val="22"/>
                <w:szCs w:val="22"/>
              </w:rPr>
            </w:pPr>
            <w:r w:rsidRPr="003034DB">
              <w:rPr>
                <w:rFonts w:asciiTheme="minorHAnsi" w:hAnsiTheme="minorHAnsi"/>
                <w:sz w:val="22"/>
                <w:szCs w:val="22"/>
              </w:rPr>
              <w:t>$           21,628.62</w:t>
            </w:r>
          </w:p>
        </w:tc>
      </w:tr>
      <w:tr w:rsidR="001A1786" w:rsidRPr="003034DB" w14:paraId="6130F352" w14:textId="77777777" w:rsidTr="00863AB5">
        <w:trPr>
          <w:trHeight w:val="300"/>
        </w:trPr>
        <w:tc>
          <w:tcPr>
            <w:tcW w:w="2593" w:type="dxa"/>
            <w:hideMark/>
          </w:tcPr>
          <w:p w14:paraId="6130F34E" w14:textId="77777777" w:rsidR="001A1786" w:rsidRPr="009165A0" w:rsidRDefault="001A1786">
            <w:pPr>
              <w:rPr>
                <w:rFonts w:asciiTheme="minorHAnsi" w:hAnsiTheme="minorHAnsi"/>
                <w:sz w:val="22"/>
                <w:szCs w:val="22"/>
              </w:rPr>
            </w:pPr>
            <w:r w:rsidRPr="009165A0">
              <w:rPr>
                <w:rFonts w:asciiTheme="minorHAnsi" w:hAnsiTheme="minorHAnsi"/>
                <w:sz w:val="22"/>
                <w:szCs w:val="22"/>
              </w:rPr>
              <w:t>Cost per Trip (Annual Cost/% of Trips)</w:t>
            </w:r>
          </w:p>
        </w:tc>
        <w:tc>
          <w:tcPr>
            <w:tcW w:w="2585" w:type="dxa"/>
            <w:noWrap/>
            <w:vAlign w:val="center"/>
            <w:hideMark/>
          </w:tcPr>
          <w:p w14:paraId="6130F34F" w14:textId="77777777" w:rsidR="001A1786" w:rsidRPr="003034DB" w:rsidRDefault="001A1786" w:rsidP="001A1786">
            <w:pPr>
              <w:jc w:val="center"/>
              <w:rPr>
                <w:rFonts w:asciiTheme="minorHAnsi" w:hAnsiTheme="minorHAnsi"/>
                <w:sz w:val="22"/>
                <w:szCs w:val="22"/>
              </w:rPr>
            </w:pPr>
            <w:r w:rsidRPr="003034DB">
              <w:rPr>
                <w:rFonts w:asciiTheme="minorHAnsi" w:hAnsiTheme="minorHAnsi"/>
                <w:sz w:val="22"/>
                <w:szCs w:val="22"/>
              </w:rPr>
              <w:t>$                                 6.75</w:t>
            </w:r>
          </w:p>
        </w:tc>
        <w:tc>
          <w:tcPr>
            <w:tcW w:w="2455" w:type="dxa"/>
            <w:noWrap/>
            <w:vAlign w:val="center"/>
            <w:hideMark/>
          </w:tcPr>
          <w:p w14:paraId="6130F350" w14:textId="77777777" w:rsidR="001A1786" w:rsidRPr="003034DB" w:rsidRDefault="001A1786" w:rsidP="001A1786">
            <w:pPr>
              <w:jc w:val="center"/>
              <w:rPr>
                <w:rFonts w:asciiTheme="minorHAnsi" w:hAnsiTheme="minorHAnsi"/>
                <w:sz w:val="22"/>
                <w:szCs w:val="22"/>
              </w:rPr>
            </w:pPr>
            <w:r w:rsidRPr="003034DB">
              <w:rPr>
                <w:rFonts w:asciiTheme="minorHAnsi" w:hAnsiTheme="minorHAnsi"/>
                <w:sz w:val="22"/>
                <w:szCs w:val="22"/>
              </w:rPr>
              <w:t>$                              0.90</w:t>
            </w:r>
          </w:p>
        </w:tc>
        <w:tc>
          <w:tcPr>
            <w:tcW w:w="1943" w:type="dxa"/>
            <w:noWrap/>
            <w:vAlign w:val="center"/>
            <w:hideMark/>
          </w:tcPr>
          <w:p w14:paraId="6130F351" w14:textId="77777777" w:rsidR="001A1786" w:rsidRPr="009165A0" w:rsidRDefault="001A1786" w:rsidP="001A1786">
            <w:pPr>
              <w:jc w:val="center"/>
              <w:rPr>
                <w:rFonts w:asciiTheme="minorHAnsi" w:hAnsiTheme="minorHAnsi"/>
                <w:sz w:val="22"/>
                <w:szCs w:val="22"/>
              </w:rPr>
            </w:pPr>
            <w:r w:rsidRPr="003034DB">
              <w:rPr>
                <w:rFonts w:asciiTheme="minorHAnsi" w:hAnsiTheme="minorHAnsi"/>
                <w:sz w:val="22"/>
                <w:szCs w:val="22"/>
              </w:rPr>
              <w:t>$                    5.85</w:t>
            </w:r>
          </w:p>
        </w:tc>
      </w:tr>
    </w:tbl>
    <w:p w14:paraId="6130F353" w14:textId="77777777" w:rsidR="001A1786" w:rsidRDefault="001A1786" w:rsidP="00044197">
      <w:pPr>
        <w:rPr>
          <w:sz w:val="22"/>
          <w:szCs w:val="22"/>
        </w:rPr>
      </w:pPr>
    </w:p>
    <w:p w14:paraId="6130F354" w14:textId="77777777" w:rsidR="001A1786" w:rsidRDefault="001A1786" w:rsidP="00044197">
      <w:pPr>
        <w:rPr>
          <w:sz w:val="22"/>
          <w:szCs w:val="22"/>
        </w:rPr>
      </w:pPr>
    </w:p>
    <w:p w14:paraId="6130F355" w14:textId="77777777" w:rsidR="00863AB5" w:rsidRDefault="00863AB5" w:rsidP="00044197">
      <w:pPr>
        <w:rPr>
          <w:sz w:val="22"/>
          <w:szCs w:val="22"/>
        </w:rPr>
      </w:pPr>
    </w:p>
    <w:p w14:paraId="6130F356" w14:textId="77777777" w:rsidR="005A6475" w:rsidRDefault="005A6475"/>
    <w:p w14:paraId="6130F357" w14:textId="77777777" w:rsidR="005A6475" w:rsidRDefault="005A6475"/>
    <w:p w14:paraId="6130F358" w14:textId="77777777" w:rsidR="005A6475" w:rsidRPr="00F20795" w:rsidRDefault="005A6475"/>
    <w:p w14:paraId="6130F359" w14:textId="77777777" w:rsidR="00044197" w:rsidRPr="00E33C92" w:rsidRDefault="00044197" w:rsidP="00333201">
      <w:pPr>
        <w:pStyle w:val="Subtitle"/>
        <w:numPr>
          <w:ilvl w:val="0"/>
          <w:numId w:val="3"/>
        </w:numPr>
      </w:pPr>
      <w:r w:rsidRPr="00E33C92">
        <w:lastRenderedPageBreak/>
        <w:t>Travel Time Savings</w:t>
      </w:r>
    </w:p>
    <w:p w14:paraId="6130F35A" w14:textId="77777777" w:rsidR="00044197" w:rsidRDefault="00044197" w:rsidP="00044197">
      <w:pPr>
        <w:rPr>
          <w:highlight w:val="yellow"/>
        </w:rPr>
      </w:pPr>
    </w:p>
    <w:p w14:paraId="6130F35B" w14:textId="77777777" w:rsidR="00044197" w:rsidRPr="00854619" w:rsidRDefault="00044197" w:rsidP="00F20795">
      <w:pPr>
        <w:jc w:val="both"/>
        <w:rPr>
          <w:rFonts w:asciiTheme="minorHAnsi" w:hAnsiTheme="minorHAnsi"/>
          <w:szCs w:val="22"/>
        </w:rPr>
      </w:pPr>
      <w:r w:rsidRPr="00854619">
        <w:rPr>
          <w:rFonts w:asciiTheme="minorHAnsi" w:hAnsiTheme="minorHAnsi"/>
          <w:szCs w:val="22"/>
        </w:rPr>
        <w:t xml:space="preserve">In addition to out-of-pocket costs, there are additional costs associated with travel, such as the amount of time devoted to travel. Because travel times differ between transit and other modes, these differences need to be taken into consideration when valuing the benefits of transit. </w:t>
      </w:r>
    </w:p>
    <w:p w14:paraId="6130F35C" w14:textId="77777777" w:rsidR="00044197" w:rsidRPr="00854619" w:rsidRDefault="00044197" w:rsidP="00F20795">
      <w:pPr>
        <w:jc w:val="both"/>
        <w:rPr>
          <w:rFonts w:asciiTheme="minorHAnsi" w:hAnsiTheme="minorHAnsi"/>
          <w:szCs w:val="22"/>
        </w:rPr>
      </w:pPr>
    </w:p>
    <w:p w14:paraId="6130F35D" w14:textId="77777777" w:rsidR="002E347E" w:rsidRPr="00854619" w:rsidRDefault="00044197" w:rsidP="00F20795">
      <w:pPr>
        <w:jc w:val="both"/>
        <w:rPr>
          <w:rFonts w:asciiTheme="minorHAnsi" w:hAnsiTheme="minorHAnsi"/>
          <w:szCs w:val="22"/>
        </w:rPr>
      </w:pPr>
      <w:r w:rsidRPr="00854619">
        <w:rPr>
          <w:rFonts w:asciiTheme="minorHAnsi" w:hAnsiTheme="minorHAnsi"/>
          <w:szCs w:val="22"/>
        </w:rPr>
        <w:t xml:space="preserve">The basic procedure followed to tabulate the travel time savings for each mode is to multiply the following parameters for all transit trips and for trips by alternative modes in the absence of transit: number of trips made, average travel time, and cost of travel time per hour. </w:t>
      </w:r>
    </w:p>
    <w:p w14:paraId="6130F35E" w14:textId="77777777" w:rsidR="001A1786" w:rsidRDefault="001A1786" w:rsidP="00044197">
      <w:pPr>
        <w:rPr>
          <w:sz w:val="22"/>
          <w:szCs w:val="22"/>
        </w:rPr>
      </w:pPr>
    </w:p>
    <w:tbl>
      <w:tblPr>
        <w:tblW w:w="0" w:type="auto"/>
        <w:tblLook w:val="04A0" w:firstRow="1" w:lastRow="0" w:firstColumn="1" w:lastColumn="0" w:noHBand="0" w:noVBand="1"/>
      </w:tblPr>
      <w:tblGrid>
        <w:gridCol w:w="2322"/>
        <w:gridCol w:w="2826"/>
        <w:gridCol w:w="2410"/>
        <w:gridCol w:w="2018"/>
      </w:tblGrid>
      <w:tr w:rsidR="00863AB5" w:rsidRPr="001A1786" w14:paraId="6130F360" w14:textId="77777777" w:rsidTr="00B72E89">
        <w:trPr>
          <w:trHeight w:val="300"/>
        </w:trPr>
        <w:tc>
          <w:tcPr>
            <w:tcW w:w="9576" w:type="dxa"/>
            <w:gridSpan w:val="4"/>
            <w:hideMark/>
          </w:tcPr>
          <w:p w14:paraId="6130F35F" w14:textId="77777777" w:rsidR="00863AB5" w:rsidRPr="003034DB" w:rsidRDefault="00863AB5">
            <w:pPr>
              <w:rPr>
                <w:rFonts w:asciiTheme="minorHAnsi" w:hAnsiTheme="minorHAnsi"/>
                <w:sz w:val="22"/>
                <w:szCs w:val="22"/>
              </w:rPr>
            </w:pPr>
            <w:r w:rsidRPr="00F20795">
              <w:rPr>
                <w:rFonts w:asciiTheme="minorHAnsi" w:hAnsiTheme="minorHAnsi"/>
                <w:b/>
                <w:bCs/>
                <w:sz w:val="22"/>
                <w:szCs w:val="22"/>
              </w:rPr>
              <w:t>Cost of Travel Time</w:t>
            </w:r>
          </w:p>
        </w:tc>
      </w:tr>
      <w:tr w:rsidR="001A1786" w:rsidRPr="001A1786" w14:paraId="6130F365" w14:textId="77777777" w:rsidTr="00F20795">
        <w:trPr>
          <w:trHeight w:val="300"/>
        </w:trPr>
        <w:tc>
          <w:tcPr>
            <w:tcW w:w="2322" w:type="dxa"/>
            <w:noWrap/>
            <w:hideMark/>
          </w:tcPr>
          <w:p w14:paraId="6130F361" w14:textId="77777777" w:rsidR="001A1786" w:rsidRPr="009165A0" w:rsidRDefault="001A1786">
            <w:pPr>
              <w:rPr>
                <w:rFonts w:asciiTheme="minorHAnsi" w:hAnsiTheme="minorHAnsi"/>
                <w:b/>
                <w:bCs/>
                <w:sz w:val="22"/>
                <w:szCs w:val="22"/>
                <w:u w:val="single"/>
              </w:rPr>
            </w:pPr>
          </w:p>
        </w:tc>
        <w:tc>
          <w:tcPr>
            <w:tcW w:w="2826" w:type="dxa"/>
            <w:noWrap/>
            <w:hideMark/>
          </w:tcPr>
          <w:p w14:paraId="6130F362" w14:textId="77777777" w:rsidR="001A1786" w:rsidRPr="003034DB" w:rsidRDefault="001A1786">
            <w:pPr>
              <w:rPr>
                <w:rFonts w:asciiTheme="minorHAnsi" w:hAnsiTheme="minorHAnsi"/>
                <w:sz w:val="22"/>
                <w:szCs w:val="22"/>
              </w:rPr>
            </w:pPr>
            <w:r w:rsidRPr="003034DB">
              <w:rPr>
                <w:rFonts w:asciiTheme="minorHAnsi" w:hAnsiTheme="minorHAnsi"/>
                <w:sz w:val="22"/>
                <w:szCs w:val="22"/>
              </w:rPr>
              <w:t>[# of Trips x Avg. Travel Time x Rate)</w:t>
            </w:r>
          </w:p>
        </w:tc>
        <w:tc>
          <w:tcPr>
            <w:tcW w:w="2410" w:type="dxa"/>
            <w:noWrap/>
            <w:hideMark/>
          </w:tcPr>
          <w:p w14:paraId="6130F363" w14:textId="77777777" w:rsidR="001A1786" w:rsidRPr="003034DB" w:rsidRDefault="001A1786">
            <w:pPr>
              <w:rPr>
                <w:rFonts w:asciiTheme="minorHAnsi" w:hAnsiTheme="minorHAnsi"/>
                <w:sz w:val="22"/>
                <w:szCs w:val="22"/>
              </w:rPr>
            </w:pPr>
            <w:r w:rsidRPr="003034DB">
              <w:rPr>
                <w:rFonts w:asciiTheme="minorHAnsi" w:hAnsiTheme="minorHAnsi"/>
                <w:sz w:val="22"/>
                <w:szCs w:val="22"/>
              </w:rPr>
              <w:t>[# of Trips x Avg. Travel Time x Rate)</w:t>
            </w:r>
          </w:p>
        </w:tc>
        <w:tc>
          <w:tcPr>
            <w:tcW w:w="2018" w:type="dxa"/>
            <w:noWrap/>
            <w:hideMark/>
          </w:tcPr>
          <w:p w14:paraId="6130F364" w14:textId="77777777" w:rsidR="001A1786" w:rsidRPr="003034DB" w:rsidRDefault="001A1786">
            <w:pPr>
              <w:rPr>
                <w:rFonts w:asciiTheme="minorHAnsi" w:hAnsiTheme="minorHAnsi"/>
                <w:sz w:val="22"/>
                <w:szCs w:val="22"/>
              </w:rPr>
            </w:pPr>
            <w:r w:rsidRPr="003034DB">
              <w:rPr>
                <w:rFonts w:asciiTheme="minorHAnsi" w:hAnsiTheme="minorHAnsi"/>
                <w:sz w:val="22"/>
                <w:szCs w:val="22"/>
              </w:rPr>
              <w:t> </w:t>
            </w:r>
          </w:p>
        </w:tc>
      </w:tr>
      <w:tr w:rsidR="001A1786" w:rsidRPr="001A1786" w14:paraId="6130F36A" w14:textId="77777777" w:rsidTr="00F20795">
        <w:trPr>
          <w:trHeight w:val="300"/>
        </w:trPr>
        <w:tc>
          <w:tcPr>
            <w:tcW w:w="2322" w:type="dxa"/>
            <w:noWrap/>
            <w:hideMark/>
          </w:tcPr>
          <w:p w14:paraId="6130F366" w14:textId="77777777" w:rsidR="001A1786" w:rsidRPr="009165A0" w:rsidRDefault="001A1786">
            <w:pPr>
              <w:rPr>
                <w:rFonts w:asciiTheme="minorHAnsi" w:hAnsiTheme="minorHAnsi"/>
                <w:sz w:val="22"/>
                <w:szCs w:val="22"/>
              </w:rPr>
            </w:pPr>
            <w:r w:rsidRPr="009165A0">
              <w:rPr>
                <w:rFonts w:asciiTheme="minorHAnsi" w:hAnsiTheme="minorHAnsi"/>
                <w:sz w:val="22"/>
                <w:szCs w:val="22"/>
              </w:rPr>
              <w:t> </w:t>
            </w:r>
          </w:p>
        </w:tc>
        <w:tc>
          <w:tcPr>
            <w:tcW w:w="2826" w:type="dxa"/>
            <w:noWrap/>
            <w:hideMark/>
          </w:tcPr>
          <w:p w14:paraId="6130F367" w14:textId="77777777" w:rsidR="001A1786" w:rsidRPr="003034DB" w:rsidRDefault="001A1786">
            <w:pPr>
              <w:rPr>
                <w:rFonts w:asciiTheme="minorHAnsi" w:hAnsiTheme="minorHAnsi"/>
                <w:sz w:val="22"/>
                <w:szCs w:val="22"/>
              </w:rPr>
            </w:pPr>
          </w:p>
        </w:tc>
        <w:tc>
          <w:tcPr>
            <w:tcW w:w="2410" w:type="dxa"/>
            <w:noWrap/>
            <w:hideMark/>
          </w:tcPr>
          <w:p w14:paraId="6130F368" w14:textId="77777777" w:rsidR="001A1786" w:rsidRPr="003034DB" w:rsidRDefault="001A1786" w:rsidP="001A1786">
            <w:pPr>
              <w:rPr>
                <w:rFonts w:asciiTheme="minorHAnsi" w:hAnsiTheme="minorHAnsi"/>
                <w:b/>
                <w:bCs/>
                <w:sz w:val="22"/>
                <w:szCs w:val="22"/>
              </w:rPr>
            </w:pPr>
            <w:r w:rsidRPr="003034DB">
              <w:rPr>
                <w:rFonts w:asciiTheme="minorHAnsi" w:hAnsiTheme="minorHAnsi"/>
                <w:b/>
                <w:bCs/>
                <w:sz w:val="22"/>
                <w:szCs w:val="22"/>
              </w:rPr>
              <w:t>Transit</w:t>
            </w:r>
          </w:p>
        </w:tc>
        <w:tc>
          <w:tcPr>
            <w:tcW w:w="2018" w:type="dxa"/>
            <w:noWrap/>
            <w:hideMark/>
          </w:tcPr>
          <w:p w14:paraId="6130F369" w14:textId="77777777" w:rsidR="001A1786" w:rsidRPr="003034DB" w:rsidRDefault="001A1786">
            <w:pPr>
              <w:rPr>
                <w:rFonts w:asciiTheme="minorHAnsi" w:hAnsiTheme="minorHAnsi"/>
                <w:b/>
                <w:bCs/>
                <w:sz w:val="22"/>
                <w:szCs w:val="22"/>
              </w:rPr>
            </w:pPr>
            <w:r w:rsidRPr="003034DB">
              <w:rPr>
                <w:rFonts w:asciiTheme="minorHAnsi" w:hAnsiTheme="minorHAnsi"/>
                <w:b/>
                <w:bCs/>
                <w:sz w:val="22"/>
                <w:szCs w:val="22"/>
              </w:rPr>
              <w:t>Net Savings</w:t>
            </w:r>
          </w:p>
        </w:tc>
      </w:tr>
      <w:tr w:rsidR="001A1786" w:rsidRPr="001A1786" w14:paraId="6130F36F" w14:textId="77777777" w:rsidTr="00F20795">
        <w:trPr>
          <w:trHeight w:val="300"/>
        </w:trPr>
        <w:tc>
          <w:tcPr>
            <w:tcW w:w="2322" w:type="dxa"/>
            <w:hideMark/>
          </w:tcPr>
          <w:p w14:paraId="6130F36B" w14:textId="77777777" w:rsidR="001A1786" w:rsidRPr="009165A0" w:rsidRDefault="001A1786">
            <w:pPr>
              <w:rPr>
                <w:rFonts w:asciiTheme="minorHAnsi" w:hAnsiTheme="minorHAnsi"/>
                <w:sz w:val="22"/>
                <w:szCs w:val="22"/>
              </w:rPr>
            </w:pPr>
            <w:r w:rsidRPr="009165A0">
              <w:rPr>
                <w:rFonts w:asciiTheme="minorHAnsi" w:hAnsiTheme="minorHAnsi"/>
                <w:sz w:val="22"/>
                <w:szCs w:val="22"/>
              </w:rPr>
              <w:t>Drove a Car</w:t>
            </w:r>
          </w:p>
        </w:tc>
        <w:tc>
          <w:tcPr>
            <w:tcW w:w="2826" w:type="dxa"/>
            <w:noWrap/>
            <w:hideMark/>
          </w:tcPr>
          <w:p w14:paraId="6130F36C"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1,160.06 </w:t>
            </w:r>
          </w:p>
        </w:tc>
        <w:tc>
          <w:tcPr>
            <w:tcW w:w="2410" w:type="dxa"/>
            <w:noWrap/>
            <w:hideMark/>
          </w:tcPr>
          <w:p w14:paraId="6130F36D" w14:textId="77777777" w:rsidR="001A1786" w:rsidRPr="003034DB" w:rsidRDefault="001A1786">
            <w:pPr>
              <w:rPr>
                <w:rFonts w:asciiTheme="minorHAnsi" w:hAnsiTheme="minorHAnsi"/>
                <w:sz w:val="22"/>
                <w:szCs w:val="22"/>
              </w:rPr>
            </w:pPr>
          </w:p>
        </w:tc>
        <w:tc>
          <w:tcPr>
            <w:tcW w:w="2018" w:type="dxa"/>
            <w:noWrap/>
            <w:hideMark/>
          </w:tcPr>
          <w:p w14:paraId="6130F36E"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1,160.06 </w:t>
            </w:r>
          </w:p>
        </w:tc>
      </w:tr>
      <w:tr w:rsidR="001A1786" w:rsidRPr="001A1786" w14:paraId="6130F374" w14:textId="77777777" w:rsidTr="00F20795">
        <w:trPr>
          <w:trHeight w:val="300"/>
        </w:trPr>
        <w:tc>
          <w:tcPr>
            <w:tcW w:w="2322" w:type="dxa"/>
            <w:hideMark/>
          </w:tcPr>
          <w:p w14:paraId="6130F370" w14:textId="77777777" w:rsidR="001A1786" w:rsidRPr="009165A0" w:rsidRDefault="001A1786">
            <w:pPr>
              <w:rPr>
                <w:rFonts w:asciiTheme="minorHAnsi" w:hAnsiTheme="minorHAnsi"/>
                <w:sz w:val="22"/>
                <w:szCs w:val="22"/>
              </w:rPr>
            </w:pPr>
            <w:r w:rsidRPr="009165A0">
              <w:rPr>
                <w:rFonts w:asciiTheme="minorHAnsi" w:hAnsiTheme="minorHAnsi"/>
                <w:sz w:val="22"/>
                <w:szCs w:val="22"/>
              </w:rPr>
              <w:t>Rode with Someone</w:t>
            </w:r>
          </w:p>
        </w:tc>
        <w:tc>
          <w:tcPr>
            <w:tcW w:w="2826" w:type="dxa"/>
            <w:noWrap/>
            <w:hideMark/>
          </w:tcPr>
          <w:p w14:paraId="6130F371"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2,272.99 </w:t>
            </w:r>
          </w:p>
        </w:tc>
        <w:tc>
          <w:tcPr>
            <w:tcW w:w="2410" w:type="dxa"/>
            <w:noWrap/>
            <w:hideMark/>
          </w:tcPr>
          <w:p w14:paraId="6130F372" w14:textId="77777777" w:rsidR="001A1786" w:rsidRPr="003034DB" w:rsidRDefault="001A1786">
            <w:pPr>
              <w:rPr>
                <w:rFonts w:asciiTheme="minorHAnsi" w:hAnsiTheme="minorHAnsi"/>
                <w:sz w:val="22"/>
                <w:szCs w:val="22"/>
              </w:rPr>
            </w:pPr>
          </w:p>
        </w:tc>
        <w:tc>
          <w:tcPr>
            <w:tcW w:w="2018" w:type="dxa"/>
            <w:noWrap/>
            <w:hideMark/>
          </w:tcPr>
          <w:p w14:paraId="6130F373"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2,272.99 </w:t>
            </w:r>
          </w:p>
        </w:tc>
      </w:tr>
      <w:tr w:rsidR="001A1786" w:rsidRPr="001A1786" w14:paraId="6130F379" w14:textId="77777777" w:rsidTr="00F20795">
        <w:trPr>
          <w:trHeight w:val="300"/>
        </w:trPr>
        <w:tc>
          <w:tcPr>
            <w:tcW w:w="2322" w:type="dxa"/>
            <w:hideMark/>
          </w:tcPr>
          <w:p w14:paraId="6130F375" w14:textId="77777777" w:rsidR="001A1786" w:rsidRPr="009165A0" w:rsidRDefault="001A1786">
            <w:pPr>
              <w:rPr>
                <w:rFonts w:asciiTheme="minorHAnsi" w:hAnsiTheme="minorHAnsi"/>
                <w:sz w:val="22"/>
                <w:szCs w:val="22"/>
              </w:rPr>
            </w:pPr>
            <w:r w:rsidRPr="009165A0">
              <w:rPr>
                <w:rFonts w:asciiTheme="minorHAnsi" w:hAnsiTheme="minorHAnsi"/>
                <w:sz w:val="22"/>
                <w:szCs w:val="22"/>
              </w:rPr>
              <w:t>Taxi</w:t>
            </w:r>
          </w:p>
        </w:tc>
        <w:tc>
          <w:tcPr>
            <w:tcW w:w="2826" w:type="dxa"/>
            <w:noWrap/>
            <w:hideMark/>
          </w:tcPr>
          <w:p w14:paraId="6130F376"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1,166.40 </w:t>
            </w:r>
          </w:p>
        </w:tc>
        <w:tc>
          <w:tcPr>
            <w:tcW w:w="2410" w:type="dxa"/>
            <w:noWrap/>
            <w:hideMark/>
          </w:tcPr>
          <w:p w14:paraId="6130F377" w14:textId="77777777" w:rsidR="001A1786" w:rsidRPr="003034DB" w:rsidRDefault="001A1786">
            <w:pPr>
              <w:rPr>
                <w:rFonts w:asciiTheme="minorHAnsi" w:hAnsiTheme="minorHAnsi"/>
                <w:sz w:val="22"/>
                <w:szCs w:val="22"/>
              </w:rPr>
            </w:pPr>
          </w:p>
        </w:tc>
        <w:tc>
          <w:tcPr>
            <w:tcW w:w="2018" w:type="dxa"/>
            <w:noWrap/>
            <w:hideMark/>
          </w:tcPr>
          <w:p w14:paraId="6130F378"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1,166.40 </w:t>
            </w:r>
          </w:p>
        </w:tc>
      </w:tr>
      <w:tr w:rsidR="001A1786" w:rsidRPr="001A1786" w14:paraId="6130F37E" w14:textId="77777777" w:rsidTr="00F20795">
        <w:trPr>
          <w:trHeight w:val="300"/>
        </w:trPr>
        <w:tc>
          <w:tcPr>
            <w:tcW w:w="2322" w:type="dxa"/>
            <w:hideMark/>
          </w:tcPr>
          <w:p w14:paraId="6130F37A" w14:textId="77777777" w:rsidR="001A1786" w:rsidRPr="009165A0" w:rsidRDefault="001A1786">
            <w:pPr>
              <w:rPr>
                <w:rFonts w:asciiTheme="minorHAnsi" w:hAnsiTheme="minorHAnsi"/>
                <w:sz w:val="22"/>
                <w:szCs w:val="22"/>
              </w:rPr>
            </w:pPr>
            <w:r w:rsidRPr="009165A0">
              <w:rPr>
                <w:rFonts w:asciiTheme="minorHAnsi" w:hAnsiTheme="minorHAnsi"/>
                <w:sz w:val="22"/>
                <w:szCs w:val="22"/>
              </w:rPr>
              <w:t>Walk</w:t>
            </w:r>
          </w:p>
        </w:tc>
        <w:tc>
          <w:tcPr>
            <w:tcW w:w="2826" w:type="dxa"/>
            <w:noWrap/>
            <w:hideMark/>
          </w:tcPr>
          <w:p w14:paraId="6130F37B"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31,639.50 </w:t>
            </w:r>
          </w:p>
        </w:tc>
        <w:tc>
          <w:tcPr>
            <w:tcW w:w="2410" w:type="dxa"/>
            <w:noWrap/>
            <w:hideMark/>
          </w:tcPr>
          <w:p w14:paraId="6130F37C" w14:textId="77777777" w:rsidR="001A1786" w:rsidRPr="003034DB" w:rsidRDefault="001A1786">
            <w:pPr>
              <w:rPr>
                <w:rFonts w:asciiTheme="minorHAnsi" w:hAnsiTheme="minorHAnsi"/>
                <w:sz w:val="22"/>
                <w:szCs w:val="22"/>
              </w:rPr>
            </w:pPr>
          </w:p>
        </w:tc>
        <w:tc>
          <w:tcPr>
            <w:tcW w:w="2018" w:type="dxa"/>
            <w:noWrap/>
            <w:hideMark/>
          </w:tcPr>
          <w:p w14:paraId="6130F37D"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31,639.50 </w:t>
            </w:r>
          </w:p>
        </w:tc>
      </w:tr>
      <w:tr w:rsidR="001A1786" w:rsidRPr="001A1786" w14:paraId="6130F383" w14:textId="77777777" w:rsidTr="00F20795">
        <w:trPr>
          <w:trHeight w:val="300"/>
        </w:trPr>
        <w:tc>
          <w:tcPr>
            <w:tcW w:w="2322" w:type="dxa"/>
            <w:hideMark/>
          </w:tcPr>
          <w:p w14:paraId="6130F37F" w14:textId="77777777" w:rsidR="001A1786" w:rsidRPr="009165A0" w:rsidRDefault="001A1786">
            <w:pPr>
              <w:rPr>
                <w:rFonts w:asciiTheme="minorHAnsi" w:hAnsiTheme="minorHAnsi"/>
                <w:sz w:val="22"/>
                <w:szCs w:val="22"/>
              </w:rPr>
            </w:pPr>
            <w:r w:rsidRPr="009165A0">
              <w:rPr>
                <w:rFonts w:asciiTheme="minorHAnsi" w:hAnsiTheme="minorHAnsi"/>
                <w:sz w:val="22"/>
                <w:szCs w:val="22"/>
              </w:rPr>
              <w:t>Bike</w:t>
            </w:r>
          </w:p>
        </w:tc>
        <w:tc>
          <w:tcPr>
            <w:tcW w:w="2826" w:type="dxa"/>
            <w:noWrap/>
            <w:hideMark/>
          </w:tcPr>
          <w:p w14:paraId="6130F380"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1,599.75 </w:t>
            </w:r>
          </w:p>
        </w:tc>
        <w:tc>
          <w:tcPr>
            <w:tcW w:w="2410" w:type="dxa"/>
            <w:noWrap/>
            <w:hideMark/>
          </w:tcPr>
          <w:p w14:paraId="6130F381" w14:textId="77777777" w:rsidR="001A1786" w:rsidRPr="003034DB" w:rsidRDefault="001A1786">
            <w:pPr>
              <w:rPr>
                <w:rFonts w:asciiTheme="minorHAnsi" w:hAnsiTheme="minorHAnsi"/>
                <w:sz w:val="22"/>
                <w:szCs w:val="22"/>
              </w:rPr>
            </w:pPr>
          </w:p>
        </w:tc>
        <w:tc>
          <w:tcPr>
            <w:tcW w:w="2018" w:type="dxa"/>
            <w:noWrap/>
            <w:hideMark/>
          </w:tcPr>
          <w:p w14:paraId="6130F382" w14:textId="77777777" w:rsidR="001A1786" w:rsidRPr="003034DB" w:rsidRDefault="001A1786" w:rsidP="001A1786">
            <w:pPr>
              <w:rPr>
                <w:rFonts w:asciiTheme="minorHAnsi" w:hAnsiTheme="minorHAnsi"/>
                <w:sz w:val="22"/>
                <w:szCs w:val="22"/>
              </w:rPr>
            </w:pPr>
            <w:r w:rsidRPr="003034DB">
              <w:rPr>
                <w:rFonts w:asciiTheme="minorHAnsi" w:hAnsiTheme="minorHAnsi"/>
                <w:sz w:val="22"/>
                <w:szCs w:val="22"/>
              </w:rPr>
              <w:t xml:space="preserve"> $              1,599.75 </w:t>
            </w:r>
          </w:p>
        </w:tc>
      </w:tr>
      <w:tr w:rsidR="001A1786" w:rsidRPr="001A1786" w14:paraId="6130F388" w14:textId="77777777" w:rsidTr="00F20795">
        <w:trPr>
          <w:trHeight w:val="300"/>
        </w:trPr>
        <w:tc>
          <w:tcPr>
            <w:tcW w:w="2322" w:type="dxa"/>
            <w:hideMark/>
          </w:tcPr>
          <w:p w14:paraId="6130F384" w14:textId="77777777" w:rsidR="001A1786" w:rsidRPr="00F20795" w:rsidRDefault="003034DB">
            <w:pPr>
              <w:rPr>
                <w:rFonts w:asciiTheme="minorHAnsi" w:hAnsiTheme="minorHAnsi"/>
                <w:b/>
                <w:sz w:val="22"/>
                <w:szCs w:val="22"/>
              </w:rPr>
            </w:pPr>
            <w:r w:rsidRPr="00F20795">
              <w:rPr>
                <w:rFonts w:asciiTheme="minorHAnsi" w:hAnsiTheme="minorHAnsi"/>
                <w:b/>
                <w:sz w:val="22"/>
                <w:szCs w:val="22"/>
              </w:rPr>
              <w:t>Total Costs</w:t>
            </w:r>
          </w:p>
        </w:tc>
        <w:tc>
          <w:tcPr>
            <w:tcW w:w="2826" w:type="dxa"/>
            <w:noWrap/>
            <w:hideMark/>
          </w:tcPr>
          <w:p w14:paraId="6130F385" w14:textId="77777777" w:rsidR="001A1786" w:rsidRPr="003034DB" w:rsidRDefault="001A1786" w:rsidP="001A1786">
            <w:pPr>
              <w:rPr>
                <w:rFonts w:asciiTheme="minorHAnsi" w:hAnsiTheme="minorHAnsi"/>
                <w:b/>
                <w:bCs/>
                <w:sz w:val="22"/>
                <w:szCs w:val="22"/>
              </w:rPr>
            </w:pPr>
            <w:r w:rsidRPr="009165A0">
              <w:rPr>
                <w:rFonts w:asciiTheme="minorHAnsi" w:hAnsiTheme="minorHAnsi"/>
                <w:b/>
                <w:bCs/>
                <w:sz w:val="22"/>
                <w:szCs w:val="22"/>
              </w:rPr>
              <w:t xml:space="preserve"> $                </w:t>
            </w:r>
            <w:r w:rsidRPr="003034DB">
              <w:rPr>
                <w:rFonts w:asciiTheme="minorHAnsi" w:hAnsiTheme="minorHAnsi"/>
                <w:b/>
                <w:bCs/>
                <w:sz w:val="22"/>
                <w:szCs w:val="22"/>
              </w:rPr>
              <w:t xml:space="preserve">         37,838.71 </w:t>
            </w:r>
          </w:p>
        </w:tc>
        <w:tc>
          <w:tcPr>
            <w:tcW w:w="2410" w:type="dxa"/>
            <w:noWrap/>
            <w:hideMark/>
          </w:tcPr>
          <w:p w14:paraId="6130F386" w14:textId="77777777" w:rsidR="001A1786" w:rsidRPr="003034DB" w:rsidRDefault="001A1786" w:rsidP="009165A0">
            <w:pPr>
              <w:rPr>
                <w:rFonts w:asciiTheme="minorHAnsi" w:hAnsiTheme="minorHAnsi"/>
                <w:b/>
                <w:bCs/>
                <w:sz w:val="22"/>
                <w:szCs w:val="22"/>
              </w:rPr>
            </w:pPr>
            <w:r w:rsidRPr="003034DB">
              <w:rPr>
                <w:rFonts w:asciiTheme="minorHAnsi" w:hAnsiTheme="minorHAnsi"/>
                <w:b/>
                <w:bCs/>
                <w:sz w:val="22"/>
                <w:szCs w:val="22"/>
              </w:rPr>
              <w:t xml:space="preserve"> $    </w:t>
            </w:r>
            <w:r w:rsidR="003034DB" w:rsidRPr="00F90499">
              <w:rPr>
                <w:rFonts w:asciiTheme="minorHAnsi" w:hAnsiTheme="minorHAnsi"/>
                <w:b/>
                <w:bCs/>
                <w:sz w:val="22"/>
                <w:szCs w:val="22"/>
              </w:rPr>
              <w:t xml:space="preserve">               </w:t>
            </w:r>
            <w:r w:rsidRPr="003034DB">
              <w:rPr>
                <w:rFonts w:asciiTheme="minorHAnsi" w:hAnsiTheme="minorHAnsi"/>
                <w:b/>
                <w:bCs/>
                <w:sz w:val="22"/>
                <w:szCs w:val="22"/>
              </w:rPr>
              <w:t xml:space="preserve">26,340.40 </w:t>
            </w:r>
          </w:p>
        </w:tc>
        <w:tc>
          <w:tcPr>
            <w:tcW w:w="2018" w:type="dxa"/>
            <w:noWrap/>
            <w:hideMark/>
          </w:tcPr>
          <w:p w14:paraId="6130F387" w14:textId="77777777" w:rsidR="001A1786" w:rsidRPr="009165A0" w:rsidRDefault="001A1786">
            <w:pPr>
              <w:rPr>
                <w:rFonts w:asciiTheme="minorHAnsi" w:hAnsiTheme="minorHAnsi"/>
                <w:b/>
                <w:bCs/>
                <w:sz w:val="22"/>
                <w:szCs w:val="22"/>
              </w:rPr>
            </w:pPr>
            <w:r w:rsidRPr="003034DB">
              <w:rPr>
                <w:rFonts w:asciiTheme="minorHAnsi" w:hAnsiTheme="minorHAnsi"/>
                <w:b/>
                <w:bCs/>
                <w:sz w:val="22"/>
                <w:szCs w:val="22"/>
              </w:rPr>
              <w:t xml:space="preserve"> $     </w:t>
            </w:r>
            <w:r w:rsidR="003034DB" w:rsidRPr="00F90499">
              <w:rPr>
                <w:rFonts w:asciiTheme="minorHAnsi" w:hAnsiTheme="minorHAnsi"/>
                <w:b/>
                <w:bCs/>
                <w:sz w:val="22"/>
                <w:szCs w:val="22"/>
              </w:rPr>
              <w:t xml:space="preserve">      </w:t>
            </w:r>
            <w:r w:rsidRPr="009165A0">
              <w:rPr>
                <w:rFonts w:asciiTheme="minorHAnsi" w:hAnsiTheme="minorHAnsi"/>
                <w:b/>
                <w:bCs/>
                <w:sz w:val="22"/>
                <w:szCs w:val="22"/>
              </w:rPr>
              <w:t xml:space="preserve">11,498.31 </w:t>
            </w:r>
          </w:p>
        </w:tc>
      </w:tr>
      <w:tr w:rsidR="001A1786" w:rsidRPr="001A1786" w14:paraId="6130F38D" w14:textId="77777777" w:rsidTr="00F20795">
        <w:trPr>
          <w:trHeight w:val="315"/>
        </w:trPr>
        <w:tc>
          <w:tcPr>
            <w:tcW w:w="2322" w:type="dxa"/>
            <w:hideMark/>
          </w:tcPr>
          <w:p w14:paraId="6130F389" w14:textId="77777777" w:rsidR="001A1786" w:rsidRPr="00F20795" w:rsidRDefault="001A1786">
            <w:pPr>
              <w:rPr>
                <w:rFonts w:asciiTheme="minorHAnsi" w:hAnsiTheme="minorHAnsi"/>
                <w:b/>
                <w:sz w:val="22"/>
                <w:szCs w:val="22"/>
              </w:rPr>
            </w:pPr>
            <w:r w:rsidRPr="00F20795">
              <w:rPr>
                <w:rFonts w:asciiTheme="minorHAnsi" w:hAnsiTheme="minorHAnsi"/>
                <w:b/>
                <w:sz w:val="22"/>
                <w:szCs w:val="22"/>
              </w:rPr>
              <w:t>Cost per trip</w:t>
            </w:r>
          </w:p>
        </w:tc>
        <w:tc>
          <w:tcPr>
            <w:tcW w:w="2826" w:type="dxa"/>
            <w:noWrap/>
            <w:hideMark/>
          </w:tcPr>
          <w:p w14:paraId="6130F38A" w14:textId="77777777" w:rsidR="001A1786" w:rsidRPr="009165A0" w:rsidRDefault="001A1786" w:rsidP="001A1786">
            <w:pPr>
              <w:rPr>
                <w:rFonts w:asciiTheme="minorHAnsi" w:hAnsiTheme="minorHAnsi"/>
                <w:b/>
                <w:bCs/>
                <w:sz w:val="22"/>
                <w:szCs w:val="22"/>
              </w:rPr>
            </w:pPr>
            <w:r w:rsidRPr="009165A0">
              <w:rPr>
                <w:rFonts w:asciiTheme="minorHAnsi" w:hAnsiTheme="minorHAnsi"/>
                <w:b/>
                <w:bCs/>
                <w:sz w:val="22"/>
                <w:szCs w:val="22"/>
              </w:rPr>
              <w:t xml:space="preserve"> $                                  1.20 </w:t>
            </w:r>
          </w:p>
        </w:tc>
        <w:tc>
          <w:tcPr>
            <w:tcW w:w="2410" w:type="dxa"/>
            <w:noWrap/>
            <w:hideMark/>
          </w:tcPr>
          <w:p w14:paraId="6130F38B" w14:textId="77777777" w:rsidR="001A1786" w:rsidRPr="009165A0" w:rsidRDefault="001A1786" w:rsidP="009165A0">
            <w:pPr>
              <w:rPr>
                <w:rFonts w:asciiTheme="minorHAnsi" w:hAnsiTheme="minorHAnsi"/>
                <w:b/>
                <w:bCs/>
                <w:sz w:val="22"/>
                <w:szCs w:val="22"/>
              </w:rPr>
            </w:pPr>
            <w:r w:rsidRPr="003034DB">
              <w:rPr>
                <w:rFonts w:asciiTheme="minorHAnsi" w:hAnsiTheme="minorHAnsi"/>
                <w:b/>
                <w:bCs/>
                <w:sz w:val="22"/>
                <w:szCs w:val="22"/>
              </w:rPr>
              <w:t xml:space="preserve"> $    </w:t>
            </w:r>
            <w:r w:rsidR="003034DB" w:rsidRPr="00F90499">
              <w:rPr>
                <w:rFonts w:asciiTheme="minorHAnsi" w:hAnsiTheme="minorHAnsi"/>
                <w:b/>
                <w:bCs/>
                <w:sz w:val="22"/>
                <w:szCs w:val="22"/>
              </w:rPr>
              <w:t xml:space="preserve">                         </w:t>
            </w:r>
            <w:r w:rsidRPr="009165A0">
              <w:rPr>
                <w:rFonts w:asciiTheme="minorHAnsi" w:hAnsiTheme="minorHAnsi"/>
                <w:b/>
                <w:bCs/>
                <w:sz w:val="22"/>
                <w:szCs w:val="22"/>
              </w:rPr>
              <w:t xml:space="preserve">0.83 </w:t>
            </w:r>
          </w:p>
        </w:tc>
        <w:tc>
          <w:tcPr>
            <w:tcW w:w="2018" w:type="dxa"/>
            <w:noWrap/>
            <w:hideMark/>
          </w:tcPr>
          <w:p w14:paraId="6130F38C" w14:textId="77777777" w:rsidR="001A1786" w:rsidRPr="003034DB" w:rsidRDefault="001A1786" w:rsidP="001A1786">
            <w:pPr>
              <w:rPr>
                <w:rFonts w:asciiTheme="minorHAnsi" w:hAnsiTheme="minorHAnsi"/>
                <w:b/>
                <w:bCs/>
                <w:sz w:val="22"/>
                <w:szCs w:val="22"/>
              </w:rPr>
            </w:pPr>
            <w:r w:rsidRPr="003034DB">
              <w:rPr>
                <w:rFonts w:asciiTheme="minorHAnsi" w:hAnsiTheme="minorHAnsi"/>
                <w:b/>
                <w:bCs/>
                <w:sz w:val="22"/>
                <w:szCs w:val="22"/>
              </w:rPr>
              <w:t xml:space="preserve"> $                     0.36 </w:t>
            </w:r>
          </w:p>
        </w:tc>
      </w:tr>
    </w:tbl>
    <w:p w14:paraId="6130F38E" w14:textId="77777777" w:rsidR="001A1786" w:rsidRDefault="001A1786" w:rsidP="00044197">
      <w:pPr>
        <w:rPr>
          <w:sz w:val="22"/>
          <w:szCs w:val="22"/>
        </w:rPr>
      </w:pPr>
    </w:p>
    <w:p w14:paraId="6130F38F" w14:textId="77777777" w:rsidR="002E347E" w:rsidRDefault="002E347E" w:rsidP="00044197">
      <w:pPr>
        <w:rPr>
          <w:sz w:val="22"/>
          <w:szCs w:val="22"/>
        </w:rPr>
      </w:pPr>
    </w:p>
    <w:p w14:paraId="6130F390" w14:textId="77777777" w:rsidR="00863AB5" w:rsidRDefault="00863AB5">
      <w:pPr>
        <w:spacing w:after="200" w:line="276" w:lineRule="auto"/>
        <w:rPr>
          <w:rFonts w:asciiTheme="majorHAnsi" w:eastAsiaTheme="majorEastAsia" w:hAnsiTheme="majorHAnsi" w:cstheme="majorBidi"/>
          <w:i/>
          <w:iCs/>
          <w:color w:val="4F81BD" w:themeColor="accent1"/>
          <w:spacing w:val="15"/>
        </w:rPr>
      </w:pPr>
      <w:r>
        <w:br w:type="page"/>
      </w:r>
    </w:p>
    <w:p w14:paraId="6130F391" w14:textId="77777777" w:rsidR="002E347E" w:rsidRPr="00E33C92" w:rsidRDefault="002E347E" w:rsidP="00333201">
      <w:pPr>
        <w:pStyle w:val="Subtitle"/>
        <w:numPr>
          <w:ilvl w:val="0"/>
          <w:numId w:val="3"/>
        </w:numPr>
      </w:pPr>
      <w:r w:rsidRPr="00E33C92">
        <w:lastRenderedPageBreak/>
        <w:t>Crash Cost Savings</w:t>
      </w:r>
    </w:p>
    <w:p w14:paraId="6130F392" w14:textId="77777777" w:rsidR="002E347E" w:rsidRDefault="002E347E" w:rsidP="002E347E">
      <w:pPr>
        <w:rPr>
          <w:highlight w:val="yellow"/>
        </w:rPr>
      </w:pPr>
    </w:p>
    <w:p w14:paraId="6130F393" w14:textId="77777777" w:rsidR="002E347E" w:rsidRDefault="002E347E" w:rsidP="00F20795">
      <w:pPr>
        <w:jc w:val="both"/>
        <w:rPr>
          <w:rFonts w:asciiTheme="minorHAnsi" w:hAnsiTheme="minorHAnsi"/>
          <w:szCs w:val="22"/>
        </w:rPr>
      </w:pPr>
      <w:r w:rsidRPr="00854619">
        <w:rPr>
          <w:rFonts w:asciiTheme="minorHAnsi" w:hAnsiTheme="minorHAnsi"/>
          <w:szCs w:val="22"/>
        </w:rPr>
        <w:t>Transit is a relatively safe mode of travel. The fatality rate for transit users is very low when compared to that of car occupants (one tenth of the rate for car occupants) (Litman 2012). Measuring the value of transit requires an estimate of the value it provides by reducing crash costs.</w:t>
      </w:r>
      <w:r w:rsidR="0007219A" w:rsidRPr="0007219A">
        <w:rPr>
          <w:sz w:val="22"/>
          <w:szCs w:val="22"/>
        </w:rPr>
        <w:t xml:space="preserve"> </w:t>
      </w:r>
      <w:r w:rsidR="0007219A" w:rsidRPr="00F20795">
        <w:rPr>
          <w:rFonts w:asciiTheme="minorHAnsi" w:hAnsiTheme="minorHAnsi"/>
          <w:szCs w:val="22"/>
        </w:rPr>
        <w:t>Litman (2012) used a crash cost of 10¢ per vehicle mile in his analysis, in which 6¢ is internal and 4¢ is external</w:t>
      </w:r>
      <w:r w:rsidR="00924FFD">
        <w:rPr>
          <w:rFonts w:asciiTheme="minorHAnsi" w:hAnsiTheme="minorHAnsi"/>
          <w:szCs w:val="22"/>
        </w:rPr>
        <w:t>; internal being borne by the individual, external by the community</w:t>
      </w:r>
      <w:r w:rsidR="0007219A" w:rsidRPr="00F20795">
        <w:rPr>
          <w:rFonts w:asciiTheme="minorHAnsi" w:hAnsiTheme="minorHAnsi"/>
          <w:szCs w:val="22"/>
        </w:rPr>
        <w:t>.</w:t>
      </w:r>
      <w:r w:rsidR="003458D9" w:rsidRPr="003458D9">
        <w:rPr>
          <w:sz w:val="22"/>
          <w:szCs w:val="22"/>
        </w:rPr>
        <w:t xml:space="preserve"> </w:t>
      </w:r>
      <w:r w:rsidR="003458D9" w:rsidRPr="00F20795">
        <w:rPr>
          <w:rFonts w:asciiTheme="minorHAnsi" w:hAnsiTheme="minorHAnsi"/>
          <w:szCs w:val="22"/>
        </w:rPr>
        <w:t>Litman (2012) estimated the average crash cost of a bus as 28.9¢ per bus-mile, considering 5.2 average passengers and one driver and also considering the risk for the other road users.</w:t>
      </w:r>
      <w:r w:rsidR="003458D9" w:rsidRPr="00F20795">
        <w:rPr>
          <w:szCs w:val="22"/>
        </w:rPr>
        <w:t xml:space="preserve"> </w:t>
      </w:r>
      <w:r w:rsidR="0007219A" w:rsidRPr="00F20795">
        <w:rPr>
          <w:sz w:val="28"/>
          <w:szCs w:val="22"/>
        </w:rPr>
        <w:t xml:space="preserve"> </w:t>
      </w:r>
      <w:r w:rsidR="0007219A" w:rsidRPr="00F20795">
        <w:rPr>
          <w:rFonts w:asciiTheme="minorHAnsi" w:hAnsiTheme="minorHAnsi"/>
          <w:szCs w:val="22"/>
        </w:rPr>
        <w:t>A crash cost of 10¢ per vehicle mile was used for automobiles, including those driving personal vehicle, riding with someone else, and using a taxi if transit did not exist.</w:t>
      </w:r>
      <w:r w:rsidR="0007219A" w:rsidRPr="0007219A">
        <w:rPr>
          <w:rFonts w:asciiTheme="minorHAnsi" w:hAnsiTheme="minorHAnsi"/>
          <w:szCs w:val="22"/>
        </w:rPr>
        <w:t xml:space="preserve"> </w:t>
      </w:r>
    </w:p>
    <w:p w14:paraId="6130F394" w14:textId="77777777" w:rsidR="003458D9" w:rsidRPr="00854619" w:rsidRDefault="003458D9" w:rsidP="00F20795">
      <w:pPr>
        <w:jc w:val="both"/>
        <w:rPr>
          <w:rFonts w:asciiTheme="minorHAnsi" w:hAnsiTheme="minorHAnsi"/>
          <w:szCs w:val="22"/>
        </w:rPr>
      </w:pPr>
    </w:p>
    <w:p w14:paraId="6130F395" w14:textId="77777777" w:rsidR="00AB674B" w:rsidRDefault="002E347E" w:rsidP="00F20795">
      <w:pPr>
        <w:jc w:val="both"/>
        <w:rPr>
          <w:rFonts w:asciiTheme="minorHAnsi" w:hAnsiTheme="minorHAnsi"/>
          <w:szCs w:val="22"/>
        </w:rPr>
      </w:pPr>
      <w:r w:rsidRPr="00854619">
        <w:rPr>
          <w:rFonts w:asciiTheme="minorHAnsi" w:hAnsiTheme="minorHAnsi"/>
          <w:szCs w:val="22"/>
        </w:rPr>
        <w:t xml:space="preserve">When transit is not available, the crash costs were calculated by multiplying </w:t>
      </w:r>
      <w:r w:rsidR="004320AD">
        <w:rPr>
          <w:rFonts w:asciiTheme="minorHAnsi" w:hAnsiTheme="minorHAnsi"/>
          <w:szCs w:val="22"/>
        </w:rPr>
        <w:t xml:space="preserve">the </w:t>
      </w:r>
      <w:r w:rsidR="00C427B6">
        <w:rPr>
          <w:rFonts w:asciiTheme="minorHAnsi" w:hAnsiTheme="minorHAnsi"/>
          <w:szCs w:val="22"/>
        </w:rPr>
        <w:t>total number of trips</w:t>
      </w:r>
      <w:r w:rsidR="004320AD">
        <w:rPr>
          <w:rFonts w:asciiTheme="minorHAnsi" w:hAnsiTheme="minorHAnsi"/>
          <w:szCs w:val="22"/>
        </w:rPr>
        <w:t xml:space="preserve"> by mode</w:t>
      </w:r>
      <w:r w:rsidR="00C427B6">
        <w:rPr>
          <w:rFonts w:asciiTheme="minorHAnsi" w:hAnsiTheme="minorHAnsi"/>
          <w:szCs w:val="22"/>
        </w:rPr>
        <w:t xml:space="preserve"> by 6 miles (to account for round trips)</w:t>
      </w:r>
      <w:r w:rsidRPr="00854619">
        <w:rPr>
          <w:rFonts w:asciiTheme="minorHAnsi" w:hAnsiTheme="minorHAnsi"/>
          <w:szCs w:val="22"/>
        </w:rPr>
        <w:t xml:space="preserve"> </w:t>
      </w:r>
      <w:r w:rsidR="004320AD">
        <w:rPr>
          <w:rFonts w:asciiTheme="minorHAnsi" w:hAnsiTheme="minorHAnsi"/>
          <w:szCs w:val="22"/>
        </w:rPr>
        <w:t xml:space="preserve">and </w:t>
      </w:r>
      <w:r w:rsidRPr="00854619">
        <w:rPr>
          <w:rFonts w:asciiTheme="minorHAnsi" w:hAnsiTheme="minorHAnsi"/>
          <w:szCs w:val="22"/>
        </w:rPr>
        <w:t xml:space="preserve">by </w:t>
      </w:r>
      <w:r w:rsidR="00AB674B">
        <w:rPr>
          <w:rFonts w:asciiTheme="minorHAnsi" w:hAnsiTheme="minorHAnsi"/>
          <w:szCs w:val="22"/>
        </w:rPr>
        <w:t>the crash cost per mile for all the alternatives</w:t>
      </w:r>
      <w:r w:rsidR="004F5EB7">
        <w:rPr>
          <w:rFonts w:asciiTheme="minorHAnsi" w:hAnsiTheme="minorHAnsi"/>
          <w:szCs w:val="22"/>
        </w:rPr>
        <w:t xml:space="preserve"> The Total Costs were then divided by 24,806 (31,600 estimated trips minus the 6,794 who Wouldn’t Make the Trip) since there is no crash costs associated with not going</w:t>
      </w:r>
      <w:r w:rsidR="00EF148F">
        <w:rPr>
          <w:rFonts w:asciiTheme="minorHAnsi" w:hAnsiTheme="minorHAnsi"/>
          <w:szCs w:val="22"/>
        </w:rPr>
        <w:t>.</w:t>
      </w:r>
      <w:r w:rsidR="00C427B6">
        <w:rPr>
          <w:rFonts w:asciiTheme="minorHAnsi" w:hAnsiTheme="minorHAnsi"/>
          <w:szCs w:val="22"/>
        </w:rPr>
        <w:t xml:space="preserve"> The transit crash cost was calculated by dividing the number of trips for each alternative by 5</w:t>
      </w:r>
      <w:r w:rsidR="004F5EB7">
        <w:rPr>
          <w:rFonts w:asciiTheme="minorHAnsi" w:hAnsiTheme="minorHAnsi"/>
          <w:szCs w:val="22"/>
        </w:rPr>
        <w:t>.2</w:t>
      </w:r>
      <w:r w:rsidR="00C427B6">
        <w:rPr>
          <w:rFonts w:asciiTheme="minorHAnsi" w:hAnsiTheme="minorHAnsi"/>
          <w:szCs w:val="22"/>
        </w:rPr>
        <w:t xml:space="preserve"> (an average bus load) then multiplying by 6 miles (to account for round trips) </w:t>
      </w:r>
      <w:r w:rsidR="004F5EB7">
        <w:rPr>
          <w:rFonts w:asciiTheme="minorHAnsi" w:hAnsiTheme="minorHAnsi"/>
          <w:szCs w:val="22"/>
        </w:rPr>
        <w:t xml:space="preserve">and </w:t>
      </w:r>
      <w:r w:rsidR="00C427B6">
        <w:rPr>
          <w:rFonts w:asciiTheme="minorHAnsi" w:hAnsiTheme="minorHAnsi"/>
          <w:szCs w:val="22"/>
        </w:rPr>
        <w:t>by the crash cost per mile of transit.</w:t>
      </w:r>
      <w:r w:rsidR="004F5EB7">
        <w:rPr>
          <w:rFonts w:asciiTheme="minorHAnsi" w:hAnsiTheme="minorHAnsi"/>
          <w:szCs w:val="22"/>
        </w:rPr>
        <w:t xml:space="preserve"> The Total Transit Costs were then divided by the 31,600 estimated trips since transit would be available.</w:t>
      </w:r>
      <w:r w:rsidR="00C427B6">
        <w:rPr>
          <w:rFonts w:asciiTheme="minorHAnsi" w:hAnsiTheme="minorHAnsi"/>
          <w:szCs w:val="22"/>
        </w:rPr>
        <w:t xml:space="preserve"> </w:t>
      </w:r>
      <w:r w:rsidR="00E028EB" w:rsidRPr="00F20795">
        <w:rPr>
          <w:rFonts w:asciiTheme="minorHAnsi" w:hAnsiTheme="minorHAnsi"/>
          <w:szCs w:val="22"/>
        </w:rPr>
        <w:t>The crash cost difference between the alternative modes and the transit modes determines if there are any crash cost savings attributable to using transit.</w:t>
      </w:r>
    </w:p>
    <w:p w14:paraId="6130F396" w14:textId="77777777" w:rsidR="00863AB5" w:rsidRDefault="00863AB5" w:rsidP="00F20795">
      <w:pPr>
        <w:jc w:val="both"/>
        <w:rPr>
          <w:rFonts w:asciiTheme="minorHAnsi" w:hAnsiTheme="minorHAnsi"/>
          <w:szCs w:val="22"/>
        </w:rPr>
      </w:pPr>
    </w:p>
    <w:p w14:paraId="6130F397" w14:textId="77777777" w:rsidR="00863AB5" w:rsidRDefault="00863AB5" w:rsidP="00F20795">
      <w:pPr>
        <w:jc w:val="both"/>
        <w:rPr>
          <w:rFonts w:asciiTheme="minorHAnsi" w:hAnsiTheme="minorHAnsi"/>
          <w:szCs w:val="22"/>
        </w:rPr>
      </w:pPr>
    </w:p>
    <w:tbl>
      <w:tblPr>
        <w:tblW w:w="0" w:type="auto"/>
        <w:tblLook w:val="04A0" w:firstRow="1" w:lastRow="0" w:firstColumn="1" w:lastColumn="0" w:noHBand="0" w:noVBand="1"/>
      </w:tblPr>
      <w:tblGrid>
        <w:gridCol w:w="2178"/>
        <w:gridCol w:w="2790"/>
        <w:gridCol w:w="2700"/>
        <w:gridCol w:w="1908"/>
      </w:tblGrid>
      <w:tr w:rsidR="00863AB5" w:rsidRPr="004F5EB7" w14:paraId="6130F399" w14:textId="77777777" w:rsidTr="00B72E89">
        <w:trPr>
          <w:trHeight w:val="300"/>
        </w:trPr>
        <w:tc>
          <w:tcPr>
            <w:tcW w:w="9576" w:type="dxa"/>
            <w:gridSpan w:val="4"/>
            <w:noWrap/>
            <w:hideMark/>
          </w:tcPr>
          <w:p w14:paraId="6130F398" w14:textId="77777777" w:rsidR="00863AB5" w:rsidRPr="00F20795" w:rsidRDefault="00863AB5" w:rsidP="004F5EB7">
            <w:pPr>
              <w:rPr>
                <w:rFonts w:ascii="Calibri" w:eastAsia="Times New Roman" w:hAnsi="Calibri" w:cs="Times New Roman"/>
                <w:b/>
                <w:bCs/>
                <w:color w:val="000000"/>
                <w:sz w:val="22"/>
                <w:szCs w:val="22"/>
                <w:u w:val="single"/>
              </w:rPr>
            </w:pPr>
            <w:r w:rsidRPr="004F5EB7">
              <w:rPr>
                <w:rFonts w:ascii="Calibri" w:eastAsia="Times New Roman" w:hAnsi="Calibri" w:cs="Times New Roman"/>
                <w:b/>
                <w:bCs/>
                <w:color w:val="000000"/>
                <w:sz w:val="22"/>
                <w:szCs w:val="22"/>
                <w:u w:val="single"/>
              </w:rPr>
              <w:t>Crash Costs</w:t>
            </w:r>
          </w:p>
        </w:tc>
      </w:tr>
      <w:tr w:rsidR="004F5EB7" w:rsidRPr="004F5EB7" w14:paraId="6130F39E" w14:textId="77777777" w:rsidTr="00F20795">
        <w:trPr>
          <w:trHeight w:val="600"/>
        </w:trPr>
        <w:tc>
          <w:tcPr>
            <w:tcW w:w="2178" w:type="dxa"/>
            <w:noWrap/>
            <w:hideMark/>
          </w:tcPr>
          <w:p w14:paraId="6130F39A"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w:t>
            </w:r>
          </w:p>
        </w:tc>
        <w:tc>
          <w:tcPr>
            <w:tcW w:w="2790" w:type="dxa"/>
            <w:hideMark/>
          </w:tcPr>
          <w:p w14:paraId="6130F39B"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(Trips by Mode  x  6 miles x Crash Cost per Mile)</w:t>
            </w:r>
          </w:p>
        </w:tc>
        <w:tc>
          <w:tcPr>
            <w:tcW w:w="2700" w:type="dxa"/>
            <w:hideMark/>
          </w:tcPr>
          <w:p w14:paraId="6130F39C"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((Trips by Mode / 5.2) x 6 miles x Crash Cost per Mile)</w:t>
            </w:r>
          </w:p>
        </w:tc>
        <w:tc>
          <w:tcPr>
            <w:tcW w:w="1908" w:type="dxa"/>
            <w:noWrap/>
            <w:hideMark/>
          </w:tcPr>
          <w:p w14:paraId="6130F39D"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w:t>
            </w:r>
          </w:p>
        </w:tc>
      </w:tr>
      <w:tr w:rsidR="004F5EB7" w:rsidRPr="004F5EB7" w14:paraId="6130F3A3" w14:textId="77777777" w:rsidTr="00F20795">
        <w:trPr>
          <w:trHeight w:val="300"/>
        </w:trPr>
        <w:tc>
          <w:tcPr>
            <w:tcW w:w="2178" w:type="dxa"/>
            <w:noWrap/>
            <w:hideMark/>
          </w:tcPr>
          <w:p w14:paraId="6130F39F"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w:t>
            </w:r>
          </w:p>
        </w:tc>
        <w:tc>
          <w:tcPr>
            <w:tcW w:w="2790" w:type="dxa"/>
            <w:noWrap/>
            <w:hideMark/>
          </w:tcPr>
          <w:p w14:paraId="6130F3A0" w14:textId="77777777" w:rsidR="004F5EB7" w:rsidRPr="004F5EB7" w:rsidRDefault="004F5EB7" w:rsidP="004F5EB7">
            <w:pPr>
              <w:jc w:val="cente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Total Alternatives ($0.10)</w:t>
            </w:r>
          </w:p>
        </w:tc>
        <w:tc>
          <w:tcPr>
            <w:tcW w:w="2700" w:type="dxa"/>
            <w:noWrap/>
            <w:hideMark/>
          </w:tcPr>
          <w:p w14:paraId="6130F3A1" w14:textId="77777777" w:rsidR="004F5EB7" w:rsidRPr="004F5EB7" w:rsidRDefault="004F5EB7" w:rsidP="004F5EB7">
            <w:pPr>
              <w:jc w:val="cente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Transit ($0.289)</w:t>
            </w:r>
          </w:p>
        </w:tc>
        <w:tc>
          <w:tcPr>
            <w:tcW w:w="1908" w:type="dxa"/>
            <w:noWrap/>
            <w:hideMark/>
          </w:tcPr>
          <w:p w14:paraId="6130F3A2" w14:textId="77777777" w:rsidR="004F5EB7" w:rsidRPr="004F5EB7" w:rsidRDefault="004F5EB7" w:rsidP="004F5EB7">
            <w:pPr>
              <w:jc w:val="cente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Net Savings</w:t>
            </w:r>
          </w:p>
        </w:tc>
      </w:tr>
      <w:tr w:rsidR="004F5EB7" w:rsidRPr="004F5EB7" w14:paraId="6130F3A8" w14:textId="77777777" w:rsidTr="00F20795">
        <w:trPr>
          <w:trHeight w:val="300"/>
        </w:trPr>
        <w:tc>
          <w:tcPr>
            <w:tcW w:w="2178" w:type="dxa"/>
            <w:hideMark/>
          </w:tcPr>
          <w:p w14:paraId="6130F3A4"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Drove a </w:t>
            </w:r>
            <w:r>
              <w:rPr>
                <w:rFonts w:ascii="Calibri" w:eastAsia="Times New Roman" w:hAnsi="Calibri" w:cs="Times New Roman"/>
                <w:color w:val="000000"/>
                <w:sz w:val="22"/>
                <w:szCs w:val="22"/>
              </w:rPr>
              <w:t xml:space="preserve">Car </w:t>
            </w:r>
          </w:p>
        </w:tc>
        <w:tc>
          <w:tcPr>
            <w:tcW w:w="2790" w:type="dxa"/>
            <w:noWrap/>
            <w:hideMark/>
          </w:tcPr>
          <w:p w14:paraId="6130F3A5" w14:textId="77777777" w:rsidR="004F5EB7" w:rsidRPr="004F5EB7" w:rsidRDefault="004F5EB7" w:rsidP="009165A0">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2,426.88 </w:t>
            </w:r>
          </w:p>
        </w:tc>
        <w:tc>
          <w:tcPr>
            <w:tcW w:w="2700" w:type="dxa"/>
            <w:noWrap/>
            <w:hideMark/>
          </w:tcPr>
          <w:p w14:paraId="6130F3A6"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1,348.79 </w:t>
            </w:r>
          </w:p>
        </w:tc>
        <w:tc>
          <w:tcPr>
            <w:tcW w:w="1908" w:type="dxa"/>
            <w:noWrap/>
            <w:hideMark/>
          </w:tcPr>
          <w:p w14:paraId="6130F3A7"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1,078.09 </w:t>
            </w:r>
          </w:p>
        </w:tc>
      </w:tr>
      <w:tr w:rsidR="004F5EB7" w:rsidRPr="004F5EB7" w14:paraId="6130F3AD" w14:textId="77777777" w:rsidTr="00F20795">
        <w:trPr>
          <w:trHeight w:val="300"/>
        </w:trPr>
        <w:tc>
          <w:tcPr>
            <w:tcW w:w="2178" w:type="dxa"/>
            <w:hideMark/>
          </w:tcPr>
          <w:p w14:paraId="6130F3A9" w14:textId="77777777" w:rsidR="004F5EB7" w:rsidRPr="004F5EB7" w:rsidRDefault="004F5EB7" w:rsidP="004F5EB7">
            <w:pPr>
              <w:rPr>
                <w:rFonts w:ascii="Calibri" w:eastAsia="Times New Roman" w:hAnsi="Calibri" w:cs="Times New Roman"/>
                <w:color w:val="000000"/>
                <w:sz w:val="22"/>
                <w:szCs w:val="22"/>
              </w:rPr>
            </w:pPr>
            <w:r>
              <w:rPr>
                <w:rFonts w:ascii="Calibri" w:eastAsia="Times New Roman" w:hAnsi="Calibri" w:cs="Times New Roman"/>
                <w:color w:val="000000"/>
                <w:sz w:val="22"/>
                <w:szCs w:val="22"/>
              </w:rPr>
              <w:t>Rode with Someone</w:t>
            </w:r>
          </w:p>
        </w:tc>
        <w:tc>
          <w:tcPr>
            <w:tcW w:w="2790" w:type="dxa"/>
            <w:noWrap/>
            <w:hideMark/>
          </w:tcPr>
          <w:p w14:paraId="6130F3AA" w14:textId="77777777" w:rsidR="004F5EB7" w:rsidRPr="004F5EB7" w:rsidRDefault="004F5EB7" w:rsidP="009165A0">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4,322.88 </w:t>
            </w:r>
          </w:p>
        </w:tc>
        <w:tc>
          <w:tcPr>
            <w:tcW w:w="2700" w:type="dxa"/>
            <w:noWrap/>
            <w:hideMark/>
          </w:tcPr>
          <w:p w14:paraId="6130F3AB"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 2,402.52 </w:t>
            </w:r>
          </w:p>
        </w:tc>
        <w:tc>
          <w:tcPr>
            <w:tcW w:w="1908" w:type="dxa"/>
            <w:noWrap/>
            <w:hideMark/>
          </w:tcPr>
          <w:p w14:paraId="6130F3AC"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1,920.36 </w:t>
            </w:r>
          </w:p>
        </w:tc>
      </w:tr>
      <w:tr w:rsidR="004F5EB7" w:rsidRPr="004F5EB7" w14:paraId="6130F3B2" w14:textId="77777777" w:rsidTr="00F20795">
        <w:trPr>
          <w:trHeight w:val="300"/>
        </w:trPr>
        <w:tc>
          <w:tcPr>
            <w:tcW w:w="2178" w:type="dxa"/>
            <w:hideMark/>
          </w:tcPr>
          <w:p w14:paraId="6130F3AE" w14:textId="77777777" w:rsidR="004F5EB7" w:rsidRPr="004F5EB7" w:rsidRDefault="004F5EB7" w:rsidP="009165A0">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Taxi </w:t>
            </w:r>
          </w:p>
        </w:tc>
        <w:tc>
          <w:tcPr>
            <w:tcW w:w="2790" w:type="dxa"/>
            <w:noWrap/>
            <w:hideMark/>
          </w:tcPr>
          <w:p w14:paraId="6130F3AF"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 2,218.32 </w:t>
            </w:r>
          </w:p>
        </w:tc>
        <w:tc>
          <w:tcPr>
            <w:tcW w:w="2700" w:type="dxa"/>
            <w:noWrap/>
            <w:hideMark/>
          </w:tcPr>
          <w:p w14:paraId="6130F3B0"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1,232.87 </w:t>
            </w:r>
          </w:p>
        </w:tc>
        <w:tc>
          <w:tcPr>
            <w:tcW w:w="1908" w:type="dxa"/>
            <w:noWrap/>
            <w:hideMark/>
          </w:tcPr>
          <w:p w14:paraId="6130F3B1"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985.45 </w:t>
            </w:r>
          </w:p>
        </w:tc>
      </w:tr>
      <w:tr w:rsidR="004F5EB7" w:rsidRPr="004F5EB7" w14:paraId="6130F3B7" w14:textId="77777777" w:rsidTr="00F20795">
        <w:trPr>
          <w:trHeight w:val="300"/>
        </w:trPr>
        <w:tc>
          <w:tcPr>
            <w:tcW w:w="2178" w:type="dxa"/>
            <w:hideMark/>
          </w:tcPr>
          <w:p w14:paraId="6130F3B3" w14:textId="77777777" w:rsidR="004F5EB7" w:rsidRPr="004F5EB7" w:rsidRDefault="004F5EB7" w:rsidP="009165A0">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Walk </w:t>
            </w:r>
          </w:p>
        </w:tc>
        <w:tc>
          <w:tcPr>
            <w:tcW w:w="2790" w:type="dxa"/>
            <w:noWrap/>
            <w:hideMark/>
          </w:tcPr>
          <w:p w14:paraId="6130F3B4"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 5,062.32 </w:t>
            </w:r>
          </w:p>
        </w:tc>
        <w:tc>
          <w:tcPr>
            <w:tcW w:w="2700" w:type="dxa"/>
            <w:noWrap/>
            <w:hideMark/>
          </w:tcPr>
          <w:p w14:paraId="6130F3B5"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2,813.48 </w:t>
            </w:r>
          </w:p>
        </w:tc>
        <w:tc>
          <w:tcPr>
            <w:tcW w:w="1908" w:type="dxa"/>
            <w:noWrap/>
            <w:hideMark/>
          </w:tcPr>
          <w:p w14:paraId="6130F3B6"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2,248.84 </w:t>
            </w:r>
          </w:p>
        </w:tc>
      </w:tr>
      <w:tr w:rsidR="004F5EB7" w:rsidRPr="004F5EB7" w14:paraId="6130F3BC" w14:textId="77777777" w:rsidTr="00F20795">
        <w:trPr>
          <w:trHeight w:val="300"/>
        </w:trPr>
        <w:tc>
          <w:tcPr>
            <w:tcW w:w="2178" w:type="dxa"/>
            <w:hideMark/>
          </w:tcPr>
          <w:p w14:paraId="6130F3B8" w14:textId="77777777" w:rsidR="004F5EB7" w:rsidRPr="004F5EB7" w:rsidRDefault="004F5EB7" w:rsidP="009165A0">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Bike </w:t>
            </w:r>
          </w:p>
        </w:tc>
        <w:tc>
          <w:tcPr>
            <w:tcW w:w="2790" w:type="dxa"/>
            <w:noWrap/>
            <w:hideMark/>
          </w:tcPr>
          <w:p w14:paraId="6130F3B9"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853.20 </w:t>
            </w:r>
          </w:p>
        </w:tc>
        <w:tc>
          <w:tcPr>
            <w:tcW w:w="2700" w:type="dxa"/>
            <w:noWrap/>
            <w:hideMark/>
          </w:tcPr>
          <w:p w14:paraId="6130F3BA"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474.18 </w:t>
            </w:r>
          </w:p>
        </w:tc>
        <w:tc>
          <w:tcPr>
            <w:tcW w:w="1908" w:type="dxa"/>
            <w:noWrap/>
            <w:hideMark/>
          </w:tcPr>
          <w:p w14:paraId="6130F3BB" w14:textId="77777777" w:rsidR="004F5EB7" w:rsidRPr="004F5EB7" w:rsidRDefault="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 xml:space="preserve"> $            </w:t>
            </w:r>
            <w:r>
              <w:rPr>
                <w:rFonts w:ascii="Calibri" w:eastAsia="Times New Roman" w:hAnsi="Calibri" w:cs="Times New Roman"/>
                <w:color w:val="000000"/>
                <w:sz w:val="22"/>
                <w:szCs w:val="22"/>
              </w:rPr>
              <w:t xml:space="preserve"> </w:t>
            </w:r>
            <w:r w:rsidRPr="004F5EB7">
              <w:rPr>
                <w:rFonts w:ascii="Calibri" w:eastAsia="Times New Roman" w:hAnsi="Calibri" w:cs="Times New Roman"/>
                <w:color w:val="000000"/>
                <w:sz w:val="22"/>
                <w:szCs w:val="22"/>
              </w:rPr>
              <w:t xml:space="preserve">379.02 </w:t>
            </w:r>
          </w:p>
        </w:tc>
      </w:tr>
      <w:tr w:rsidR="004F5EB7" w:rsidRPr="004F5EB7" w14:paraId="6130F3C1" w14:textId="77777777" w:rsidTr="00F20795">
        <w:trPr>
          <w:trHeight w:val="300"/>
        </w:trPr>
        <w:tc>
          <w:tcPr>
            <w:tcW w:w="2178" w:type="dxa"/>
            <w:noWrap/>
            <w:hideMark/>
          </w:tcPr>
          <w:p w14:paraId="6130F3BD" w14:textId="77777777" w:rsidR="004F5EB7" w:rsidRPr="004F5EB7" w:rsidRDefault="004F5EB7" w:rsidP="004F5EB7">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Total Costs</w:t>
            </w:r>
          </w:p>
        </w:tc>
        <w:tc>
          <w:tcPr>
            <w:tcW w:w="2790" w:type="dxa"/>
            <w:noWrap/>
            <w:hideMark/>
          </w:tcPr>
          <w:p w14:paraId="6130F3BE" w14:textId="77777777" w:rsidR="004F5EB7" w:rsidRPr="004F5EB7" w:rsidRDefault="004F5EB7" w:rsidP="009165A0">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14,883.60 </w:t>
            </w:r>
          </w:p>
        </w:tc>
        <w:tc>
          <w:tcPr>
            <w:tcW w:w="2700" w:type="dxa"/>
            <w:noWrap/>
            <w:hideMark/>
          </w:tcPr>
          <w:p w14:paraId="6130F3BF" w14:textId="77777777" w:rsidR="004F5EB7" w:rsidRPr="004F5EB7" w:rsidRDefault="004F5EB7">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8,271.85 </w:t>
            </w:r>
          </w:p>
        </w:tc>
        <w:tc>
          <w:tcPr>
            <w:tcW w:w="1908" w:type="dxa"/>
            <w:noWrap/>
            <w:hideMark/>
          </w:tcPr>
          <w:p w14:paraId="6130F3C0" w14:textId="77777777" w:rsidR="004F5EB7" w:rsidRPr="004F5EB7" w:rsidRDefault="004F5EB7">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6,611.75 </w:t>
            </w:r>
          </w:p>
        </w:tc>
      </w:tr>
      <w:tr w:rsidR="004F5EB7" w:rsidRPr="004F5EB7" w14:paraId="6130F3C6" w14:textId="77777777" w:rsidTr="00F20795">
        <w:trPr>
          <w:trHeight w:val="300"/>
        </w:trPr>
        <w:tc>
          <w:tcPr>
            <w:tcW w:w="2178" w:type="dxa"/>
            <w:hideMark/>
          </w:tcPr>
          <w:p w14:paraId="6130F3C2" w14:textId="77777777" w:rsidR="004F5EB7" w:rsidRPr="004F5EB7" w:rsidRDefault="004F5EB7" w:rsidP="004F5EB7">
            <w:pPr>
              <w:rPr>
                <w:rFonts w:ascii="Calibri" w:eastAsia="Times New Roman" w:hAnsi="Calibri" w:cs="Times New Roman"/>
                <w:color w:val="000000"/>
                <w:sz w:val="22"/>
                <w:szCs w:val="22"/>
              </w:rPr>
            </w:pPr>
            <w:r w:rsidRPr="004F5EB7">
              <w:rPr>
                <w:rFonts w:ascii="Calibri" w:eastAsia="Times New Roman" w:hAnsi="Calibri" w:cs="Times New Roman"/>
                <w:color w:val="000000"/>
                <w:sz w:val="22"/>
                <w:szCs w:val="22"/>
              </w:rPr>
              <w:t>Cost per trip</w:t>
            </w:r>
          </w:p>
        </w:tc>
        <w:tc>
          <w:tcPr>
            <w:tcW w:w="2790" w:type="dxa"/>
            <w:noWrap/>
            <w:hideMark/>
          </w:tcPr>
          <w:p w14:paraId="6130F3C3" w14:textId="77777777" w:rsidR="004F5EB7" w:rsidRPr="004F5EB7" w:rsidRDefault="004F5EB7" w:rsidP="009165A0">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0.60 </w:t>
            </w:r>
          </w:p>
        </w:tc>
        <w:tc>
          <w:tcPr>
            <w:tcW w:w="2700" w:type="dxa"/>
            <w:noWrap/>
            <w:hideMark/>
          </w:tcPr>
          <w:p w14:paraId="6130F3C4" w14:textId="77777777" w:rsidR="004F5EB7" w:rsidRPr="004F5EB7" w:rsidRDefault="004F5EB7">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0.26 </w:t>
            </w:r>
          </w:p>
        </w:tc>
        <w:tc>
          <w:tcPr>
            <w:tcW w:w="1908" w:type="dxa"/>
            <w:noWrap/>
            <w:hideMark/>
          </w:tcPr>
          <w:p w14:paraId="6130F3C5" w14:textId="77777777" w:rsidR="004F5EB7" w:rsidRPr="004F5EB7" w:rsidRDefault="004F5EB7">
            <w:pPr>
              <w:rPr>
                <w:rFonts w:ascii="Calibri" w:eastAsia="Times New Roman" w:hAnsi="Calibri" w:cs="Times New Roman"/>
                <w:b/>
                <w:bCs/>
                <w:color w:val="000000"/>
                <w:sz w:val="22"/>
                <w:szCs w:val="22"/>
              </w:rPr>
            </w:pPr>
            <w:r w:rsidRPr="004F5EB7">
              <w:rPr>
                <w:rFonts w:ascii="Calibri" w:eastAsia="Times New Roman" w:hAnsi="Calibri" w:cs="Times New Roman"/>
                <w:b/>
                <w:bCs/>
                <w:color w:val="000000"/>
                <w:sz w:val="22"/>
                <w:szCs w:val="22"/>
              </w:rPr>
              <w:t xml:space="preserve"> $                </w:t>
            </w:r>
            <w:r>
              <w:rPr>
                <w:rFonts w:ascii="Calibri" w:eastAsia="Times New Roman" w:hAnsi="Calibri" w:cs="Times New Roman"/>
                <w:b/>
                <w:bCs/>
                <w:color w:val="000000"/>
                <w:sz w:val="22"/>
                <w:szCs w:val="22"/>
              </w:rPr>
              <w:t xml:space="preserve"> </w:t>
            </w:r>
            <w:r w:rsidRPr="004F5EB7">
              <w:rPr>
                <w:rFonts w:ascii="Calibri" w:eastAsia="Times New Roman" w:hAnsi="Calibri" w:cs="Times New Roman"/>
                <w:b/>
                <w:bCs/>
                <w:color w:val="000000"/>
                <w:sz w:val="22"/>
                <w:szCs w:val="22"/>
              </w:rPr>
              <w:t xml:space="preserve">0.34 </w:t>
            </w:r>
          </w:p>
        </w:tc>
      </w:tr>
    </w:tbl>
    <w:p w14:paraId="6130F3C7" w14:textId="77777777" w:rsidR="009A5E04" w:rsidRDefault="009A5E04" w:rsidP="00604364">
      <w:pPr>
        <w:rPr>
          <w:rFonts w:asciiTheme="minorHAnsi" w:hAnsiTheme="minorHAnsi"/>
        </w:rPr>
      </w:pPr>
    </w:p>
    <w:p w14:paraId="6130F3C8" w14:textId="77777777" w:rsidR="009A5E04" w:rsidRDefault="009A5E04" w:rsidP="009A5E04">
      <w:pPr>
        <w:pStyle w:val="Heading2"/>
      </w:pPr>
    </w:p>
    <w:p w14:paraId="6130F3C9" w14:textId="77777777" w:rsidR="009A5E04" w:rsidRDefault="009A5E04" w:rsidP="009A5E04">
      <w:pPr>
        <w:rPr>
          <w:rFonts w:asciiTheme="majorHAnsi" w:eastAsiaTheme="majorEastAsia" w:hAnsiTheme="majorHAnsi" w:cstheme="majorBidi"/>
          <w:color w:val="4F81BD" w:themeColor="accent1"/>
          <w:sz w:val="26"/>
          <w:szCs w:val="26"/>
        </w:rPr>
      </w:pPr>
      <w:r>
        <w:br w:type="page"/>
      </w:r>
    </w:p>
    <w:p w14:paraId="6130F3CA" w14:textId="77777777" w:rsidR="009A5E04" w:rsidRDefault="009A5E04" w:rsidP="007D1E3A">
      <w:pPr>
        <w:pStyle w:val="Heading2"/>
      </w:pPr>
      <w:bookmarkStart w:id="7" w:name="_Toc477860553"/>
      <w:r>
        <w:lastRenderedPageBreak/>
        <w:t>Low Cost Mobility Benefits</w:t>
      </w:r>
      <w:bookmarkEnd w:id="7"/>
    </w:p>
    <w:p w14:paraId="6130F3CB" w14:textId="77777777" w:rsidR="009A5E04" w:rsidRDefault="009A5E04" w:rsidP="009A5E04"/>
    <w:p w14:paraId="6130F3CC" w14:textId="77777777" w:rsidR="009A5E04" w:rsidRPr="00854619" w:rsidRDefault="009A5E04" w:rsidP="00F20795">
      <w:pPr>
        <w:jc w:val="both"/>
        <w:rPr>
          <w:rFonts w:asciiTheme="minorHAnsi" w:hAnsiTheme="minorHAnsi"/>
        </w:rPr>
      </w:pPr>
      <w:r w:rsidRPr="00854619">
        <w:rPr>
          <w:rFonts w:asciiTheme="minorHAnsi" w:hAnsiTheme="minorHAnsi"/>
        </w:rPr>
        <w:t>To estimate low-cost mobility benefits, the costs of trips that would be foregone in the absence of transit, such as missed health care trips or missed work trips, were estimated. Foregone trips were categorized as medical trips, work trips, and other trips, and different methodologies were used for each. The total number of foregone trips by trip purpose was determined using the trip alternative and trip purpose data presented in the previous sections.</w:t>
      </w:r>
    </w:p>
    <w:p w14:paraId="6130F3CD" w14:textId="77777777" w:rsidR="009A5E04" w:rsidRDefault="009A5E04" w:rsidP="009A5E04"/>
    <w:p w14:paraId="6130F3CE" w14:textId="77777777" w:rsidR="009A5E04" w:rsidRDefault="009A5E04" w:rsidP="009A5E04">
      <w:pPr>
        <w:pStyle w:val="Subtitle"/>
        <w:numPr>
          <w:ilvl w:val="0"/>
          <w:numId w:val="2"/>
        </w:numPr>
      </w:pPr>
      <w:r>
        <w:t>Medical Trips</w:t>
      </w:r>
    </w:p>
    <w:p w14:paraId="6130F3CF" w14:textId="77777777" w:rsidR="009A5E04" w:rsidRDefault="009A5E04" w:rsidP="009A5E04"/>
    <w:p w14:paraId="6130F3D0" w14:textId="77777777" w:rsidR="009A5E04" w:rsidRPr="00854619" w:rsidRDefault="009A5E04" w:rsidP="00F20795">
      <w:pPr>
        <w:jc w:val="both"/>
        <w:rPr>
          <w:rFonts w:asciiTheme="minorHAnsi" w:hAnsiTheme="minorHAnsi"/>
          <w:szCs w:val="22"/>
        </w:rPr>
      </w:pPr>
      <w:r w:rsidRPr="00854619">
        <w:rPr>
          <w:rFonts w:asciiTheme="minorHAnsi" w:hAnsiTheme="minorHAnsi"/>
          <w:szCs w:val="22"/>
        </w:rPr>
        <w:t>The benefit from providing a trip for medical purposes is the difference between well-managed and poorly-managed care, which can include a reduction in more costly care and improved quality of life.</w:t>
      </w:r>
      <w:r w:rsidR="00DC4DB8" w:rsidRPr="00854619">
        <w:rPr>
          <w:rFonts w:asciiTheme="minorHAnsi" w:hAnsiTheme="minorHAnsi"/>
          <w:szCs w:val="22"/>
        </w:rPr>
        <w:t xml:space="preserve"> Calculations from a spreadsheet tool developed by Hughes-Cromwick et al. (2005) were used to estimate this benefit. Assumptions regarding the percentage of adult users of NEMT services who have different chronic conditions or require preventive care, as well as the number of office visits required for each, are shown in </w:t>
      </w:r>
      <w:r w:rsidR="008B399A">
        <w:rPr>
          <w:rFonts w:asciiTheme="minorHAnsi" w:hAnsiTheme="minorHAnsi"/>
          <w:szCs w:val="22"/>
        </w:rPr>
        <w:t>the table below</w:t>
      </w:r>
      <w:r w:rsidR="00DC4DB8" w:rsidRPr="00854619">
        <w:rPr>
          <w:rFonts w:asciiTheme="minorHAnsi" w:hAnsiTheme="minorHAnsi"/>
          <w:szCs w:val="22"/>
        </w:rPr>
        <w:t>. These estimates are national norms identified by Hughes-Cromwick et al. (2005). The benefits of NEMT trips are calculated as the cost difference between well-managed and poorly-managed care, plus improvements in quality of life, minus costs of additional medical treatment incurred, divided by the number of trips required. Using the tool developed by Hughes-Cromwick et al. (2005), results in a net benefit of $713 per round trip, or $357 per one-way trip. Therefore, this is assumed to be the cost of foregone medical trips. The total number of foregone medical trips was multiplied by $357 to determine the total cost of foregone medical trips.</w:t>
      </w:r>
    </w:p>
    <w:p w14:paraId="6130F3D1" w14:textId="77777777" w:rsidR="009A5E04" w:rsidRDefault="009A5E04" w:rsidP="009A5E04">
      <w:pPr>
        <w:rPr>
          <w:sz w:val="22"/>
          <w:szCs w:val="22"/>
        </w:rPr>
      </w:pPr>
    </w:p>
    <w:tbl>
      <w:tblPr>
        <w:tblW w:w="0" w:type="auto"/>
        <w:tblLayout w:type="fixed"/>
        <w:tblLook w:val="04A0" w:firstRow="1" w:lastRow="0" w:firstColumn="1" w:lastColumn="0" w:noHBand="0" w:noVBand="1"/>
      </w:tblPr>
      <w:tblGrid>
        <w:gridCol w:w="3348"/>
        <w:gridCol w:w="3510"/>
        <w:gridCol w:w="2386"/>
      </w:tblGrid>
      <w:tr w:rsidR="009A5E04" w:rsidRPr="00F90499" w14:paraId="6130F3D4" w14:textId="77777777" w:rsidTr="00C568F2">
        <w:trPr>
          <w:trHeight w:val="450"/>
        </w:trPr>
        <w:tc>
          <w:tcPr>
            <w:tcW w:w="9244" w:type="dxa"/>
            <w:gridSpan w:val="3"/>
          </w:tcPr>
          <w:p w14:paraId="6130F3D2"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u w:val="single"/>
              </w:rPr>
            </w:pPr>
            <w:r w:rsidRPr="008B399A">
              <w:rPr>
                <w:rFonts w:asciiTheme="minorHAnsi" w:eastAsiaTheme="minorHAnsi" w:hAnsiTheme="minorHAnsi" w:cs="Times New Roman"/>
                <w:color w:val="000000"/>
                <w:sz w:val="22"/>
                <w:szCs w:val="22"/>
                <w:u w:val="single"/>
              </w:rPr>
              <w:t xml:space="preserve">Types of Health Care Trips and Number of Trips Required Per Year </w:t>
            </w:r>
          </w:p>
          <w:p w14:paraId="6130F3D3"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p>
        </w:tc>
      </w:tr>
      <w:tr w:rsidR="009A5E04" w:rsidRPr="00F90499" w14:paraId="6130F3D8" w14:textId="77777777" w:rsidTr="00C568F2">
        <w:trPr>
          <w:trHeight w:val="279"/>
        </w:trPr>
        <w:tc>
          <w:tcPr>
            <w:tcW w:w="3348" w:type="dxa"/>
          </w:tcPr>
          <w:p w14:paraId="6130F3D5" w14:textId="77777777" w:rsidR="009A5E04" w:rsidRPr="008B399A" w:rsidRDefault="009A5E04" w:rsidP="00DC4DB8">
            <w:pPr>
              <w:autoSpaceDE w:val="0"/>
              <w:autoSpaceDN w:val="0"/>
              <w:adjustRightInd w:val="0"/>
              <w:jc w:val="center"/>
              <w:rPr>
                <w:rFonts w:asciiTheme="minorHAnsi" w:eastAsiaTheme="minorHAnsi" w:hAnsiTheme="minorHAnsi" w:cs="Times New Roman"/>
                <w:b/>
                <w:bCs/>
                <w:color w:val="000000"/>
                <w:sz w:val="22"/>
                <w:szCs w:val="22"/>
                <w:u w:val="single"/>
              </w:rPr>
            </w:pPr>
            <w:r w:rsidRPr="008B399A">
              <w:rPr>
                <w:rFonts w:asciiTheme="minorHAnsi" w:eastAsiaTheme="minorHAnsi" w:hAnsiTheme="minorHAnsi" w:cs="Times New Roman"/>
                <w:color w:val="000000"/>
                <w:sz w:val="22"/>
                <w:szCs w:val="22"/>
                <w:u w:val="single"/>
              </w:rPr>
              <w:t>Health Care Trip Purpose</w:t>
            </w:r>
          </w:p>
        </w:tc>
        <w:tc>
          <w:tcPr>
            <w:tcW w:w="3510" w:type="dxa"/>
          </w:tcPr>
          <w:p w14:paraId="6130F3D6"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u w:val="single"/>
              </w:rPr>
            </w:pPr>
            <w:r w:rsidRPr="008B399A">
              <w:rPr>
                <w:rFonts w:asciiTheme="minorHAnsi" w:eastAsiaTheme="minorHAnsi" w:hAnsiTheme="minorHAnsi" w:cs="Times New Roman"/>
                <w:color w:val="000000"/>
                <w:sz w:val="22"/>
                <w:szCs w:val="22"/>
                <w:u w:val="single"/>
              </w:rPr>
              <w:t>% of Adult NEMT Population</w:t>
            </w:r>
          </w:p>
        </w:tc>
        <w:tc>
          <w:tcPr>
            <w:tcW w:w="2386" w:type="dxa"/>
          </w:tcPr>
          <w:p w14:paraId="6130F3D7"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u w:val="single"/>
              </w:rPr>
            </w:pPr>
            <w:r w:rsidRPr="008B399A">
              <w:rPr>
                <w:rFonts w:asciiTheme="minorHAnsi" w:eastAsiaTheme="minorHAnsi" w:hAnsiTheme="minorHAnsi" w:cs="Times New Roman"/>
                <w:color w:val="000000"/>
                <w:sz w:val="22"/>
                <w:szCs w:val="22"/>
                <w:u w:val="single"/>
              </w:rPr>
              <w:t>Office Visits Per Year</w:t>
            </w:r>
          </w:p>
        </w:tc>
      </w:tr>
      <w:tr w:rsidR="009A5E04" w:rsidRPr="00F90499" w14:paraId="6130F3DC" w14:textId="77777777" w:rsidTr="00C568F2">
        <w:trPr>
          <w:trHeight w:val="99"/>
        </w:trPr>
        <w:tc>
          <w:tcPr>
            <w:tcW w:w="3348" w:type="dxa"/>
          </w:tcPr>
          <w:p w14:paraId="6130F3D9"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i/>
                <w:iCs/>
                <w:color w:val="000000"/>
                <w:sz w:val="22"/>
                <w:szCs w:val="22"/>
              </w:rPr>
              <w:t xml:space="preserve">Chronic Condition </w:t>
            </w:r>
          </w:p>
        </w:tc>
        <w:tc>
          <w:tcPr>
            <w:tcW w:w="3510" w:type="dxa"/>
          </w:tcPr>
          <w:p w14:paraId="6130F3DA"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p>
        </w:tc>
        <w:tc>
          <w:tcPr>
            <w:tcW w:w="2386" w:type="dxa"/>
          </w:tcPr>
          <w:p w14:paraId="6130F3DB"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p>
        </w:tc>
      </w:tr>
      <w:tr w:rsidR="009A5E04" w:rsidRPr="00F90499" w14:paraId="6130F3E0" w14:textId="77777777" w:rsidTr="00C568F2">
        <w:trPr>
          <w:trHeight w:val="99"/>
        </w:trPr>
        <w:tc>
          <w:tcPr>
            <w:tcW w:w="3348" w:type="dxa"/>
          </w:tcPr>
          <w:p w14:paraId="6130F3DD"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t xml:space="preserve">Asthma </w:t>
            </w:r>
          </w:p>
        </w:tc>
        <w:tc>
          <w:tcPr>
            <w:tcW w:w="3510" w:type="dxa"/>
          </w:tcPr>
          <w:p w14:paraId="6130F3DE"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20%</w:t>
            </w:r>
          </w:p>
        </w:tc>
        <w:tc>
          <w:tcPr>
            <w:tcW w:w="2386" w:type="dxa"/>
          </w:tcPr>
          <w:p w14:paraId="6130F3DF"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8.83</w:t>
            </w:r>
          </w:p>
        </w:tc>
      </w:tr>
      <w:tr w:rsidR="009A5E04" w:rsidRPr="00F90499" w14:paraId="6130F3E4" w14:textId="77777777" w:rsidTr="00C568F2">
        <w:trPr>
          <w:trHeight w:val="99"/>
        </w:trPr>
        <w:tc>
          <w:tcPr>
            <w:tcW w:w="3348" w:type="dxa"/>
          </w:tcPr>
          <w:p w14:paraId="6130F3E1"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t xml:space="preserve">COPD </w:t>
            </w:r>
          </w:p>
        </w:tc>
        <w:tc>
          <w:tcPr>
            <w:tcW w:w="3510" w:type="dxa"/>
          </w:tcPr>
          <w:p w14:paraId="6130F3E2"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19%</w:t>
            </w:r>
          </w:p>
        </w:tc>
        <w:tc>
          <w:tcPr>
            <w:tcW w:w="2386" w:type="dxa"/>
          </w:tcPr>
          <w:p w14:paraId="6130F3E3"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9.86</w:t>
            </w:r>
          </w:p>
        </w:tc>
      </w:tr>
      <w:tr w:rsidR="009A5E04" w:rsidRPr="00F90499" w14:paraId="6130F3E8" w14:textId="77777777" w:rsidTr="00C568F2">
        <w:trPr>
          <w:trHeight w:val="99"/>
        </w:trPr>
        <w:tc>
          <w:tcPr>
            <w:tcW w:w="3348" w:type="dxa"/>
          </w:tcPr>
          <w:p w14:paraId="6130F3E5"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t xml:space="preserve">Diabetes </w:t>
            </w:r>
          </w:p>
        </w:tc>
        <w:tc>
          <w:tcPr>
            <w:tcW w:w="3510" w:type="dxa"/>
          </w:tcPr>
          <w:p w14:paraId="6130F3E6"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15%</w:t>
            </w:r>
          </w:p>
        </w:tc>
        <w:tc>
          <w:tcPr>
            <w:tcW w:w="2386" w:type="dxa"/>
          </w:tcPr>
          <w:p w14:paraId="6130F3E7"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13.00</w:t>
            </w:r>
          </w:p>
        </w:tc>
      </w:tr>
      <w:tr w:rsidR="009A5E04" w:rsidRPr="00F90499" w14:paraId="6130F3EC" w14:textId="77777777" w:rsidTr="00C568F2">
        <w:trPr>
          <w:trHeight w:val="99"/>
        </w:trPr>
        <w:tc>
          <w:tcPr>
            <w:tcW w:w="3348" w:type="dxa"/>
          </w:tcPr>
          <w:p w14:paraId="6130F3E9"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t xml:space="preserve">End Stage Renal Disease </w:t>
            </w:r>
          </w:p>
        </w:tc>
        <w:tc>
          <w:tcPr>
            <w:tcW w:w="3510" w:type="dxa"/>
          </w:tcPr>
          <w:p w14:paraId="6130F3EA"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7%</w:t>
            </w:r>
          </w:p>
        </w:tc>
        <w:tc>
          <w:tcPr>
            <w:tcW w:w="2386" w:type="dxa"/>
          </w:tcPr>
          <w:p w14:paraId="6130F3EB"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115.03</w:t>
            </w:r>
          </w:p>
        </w:tc>
      </w:tr>
      <w:tr w:rsidR="009A5E04" w:rsidRPr="00F90499" w14:paraId="6130F3F0" w14:textId="77777777" w:rsidTr="00C568F2">
        <w:trPr>
          <w:trHeight w:val="99"/>
        </w:trPr>
        <w:tc>
          <w:tcPr>
            <w:tcW w:w="3348" w:type="dxa"/>
          </w:tcPr>
          <w:p w14:paraId="6130F3ED"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Congestive Heart Failure </w:t>
            </w:r>
          </w:p>
        </w:tc>
        <w:tc>
          <w:tcPr>
            <w:tcW w:w="3510" w:type="dxa"/>
          </w:tcPr>
          <w:p w14:paraId="6130F3EE"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26%</w:t>
            </w:r>
          </w:p>
        </w:tc>
        <w:tc>
          <w:tcPr>
            <w:tcW w:w="2386" w:type="dxa"/>
          </w:tcPr>
          <w:p w14:paraId="6130F3EF"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18.94</w:t>
            </w:r>
          </w:p>
        </w:tc>
      </w:tr>
      <w:tr w:rsidR="009A5E04" w:rsidRPr="00F90499" w14:paraId="6130F3F4" w14:textId="77777777" w:rsidTr="00C568F2">
        <w:trPr>
          <w:trHeight w:val="99"/>
        </w:trPr>
        <w:tc>
          <w:tcPr>
            <w:tcW w:w="3348" w:type="dxa"/>
          </w:tcPr>
          <w:p w14:paraId="6130F3F1"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Hypertension </w:t>
            </w:r>
          </w:p>
        </w:tc>
        <w:tc>
          <w:tcPr>
            <w:tcW w:w="3510" w:type="dxa"/>
          </w:tcPr>
          <w:p w14:paraId="6130F3F2"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37%</w:t>
            </w:r>
          </w:p>
        </w:tc>
        <w:tc>
          <w:tcPr>
            <w:tcW w:w="2386" w:type="dxa"/>
          </w:tcPr>
          <w:p w14:paraId="6130F3F3"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11.14</w:t>
            </w:r>
          </w:p>
        </w:tc>
      </w:tr>
      <w:tr w:rsidR="009A5E04" w:rsidRPr="00F90499" w14:paraId="6130F3F8" w14:textId="77777777" w:rsidTr="00C568F2">
        <w:trPr>
          <w:trHeight w:val="99"/>
        </w:trPr>
        <w:tc>
          <w:tcPr>
            <w:tcW w:w="3348" w:type="dxa"/>
          </w:tcPr>
          <w:p w14:paraId="6130F3F5"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Mental Health </w:t>
            </w:r>
          </w:p>
        </w:tc>
        <w:tc>
          <w:tcPr>
            <w:tcW w:w="3510" w:type="dxa"/>
          </w:tcPr>
          <w:p w14:paraId="6130F3F6"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50%</w:t>
            </w:r>
          </w:p>
        </w:tc>
        <w:tc>
          <w:tcPr>
            <w:tcW w:w="2386" w:type="dxa"/>
          </w:tcPr>
          <w:p w14:paraId="6130F3F7"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14.82</w:t>
            </w:r>
          </w:p>
        </w:tc>
      </w:tr>
      <w:tr w:rsidR="009A5E04" w:rsidRPr="00F90499" w14:paraId="6130F3FC" w14:textId="77777777" w:rsidTr="00C568F2">
        <w:trPr>
          <w:trHeight w:val="99"/>
        </w:trPr>
        <w:tc>
          <w:tcPr>
            <w:tcW w:w="3348" w:type="dxa"/>
          </w:tcPr>
          <w:p w14:paraId="6130F3F9" w14:textId="77777777" w:rsidR="009A5E04" w:rsidRPr="008B399A" w:rsidRDefault="009A5E04"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i/>
                <w:iCs/>
                <w:color w:val="000000"/>
                <w:sz w:val="22"/>
                <w:szCs w:val="22"/>
              </w:rPr>
              <w:t xml:space="preserve">Preventive Visits </w:t>
            </w:r>
          </w:p>
        </w:tc>
        <w:tc>
          <w:tcPr>
            <w:tcW w:w="3510" w:type="dxa"/>
          </w:tcPr>
          <w:p w14:paraId="6130F3FA"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p>
        </w:tc>
        <w:tc>
          <w:tcPr>
            <w:tcW w:w="2386" w:type="dxa"/>
          </w:tcPr>
          <w:p w14:paraId="6130F3FB"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p>
        </w:tc>
      </w:tr>
      <w:tr w:rsidR="009A5E04" w:rsidRPr="00F90499" w14:paraId="6130F400" w14:textId="77777777" w:rsidTr="00C568F2">
        <w:trPr>
          <w:trHeight w:val="99"/>
        </w:trPr>
        <w:tc>
          <w:tcPr>
            <w:tcW w:w="3348" w:type="dxa"/>
          </w:tcPr>
          <w:p w14:paraId="6130F3FD"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Cancer Screening </w:t>
            </w:r>
          </w:p>
        </w:tc>
        <w:tc>
          <w:tcPr>
            <w:tcW w:w="3510" w:type="dxa"/>
          </w:tcPr>
          <w:p w14:paraId="6130F3FE"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12%</w:t>
            </w:r>
          </w:p>
        </w:tc>
        <w:tc>
          <w:tcPr>
            <w:tcW w:w="2386" w:type="dxa"/>
          </w:tcPr>
          <w:p w14:paraId="6130F3FF"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2.0</w:t>
            </w:r>
          </w:p>
        </w:tc>
      </w:tr>
      <w:tr w:rsidR="009A5E04" w:rsidRPr="00F90499" w14:paraId="6130F404" w14:textId="77777777" w:rsidTr="00C568F2">
        <w:trPr>
          <w:trHeight w:val="99"/>
        </w:trPr>
        <w:tc>
          <w:tcPr>
            <w:tcW w:w="3348" w:type="dxa"/>
          </w:tcPr>
          <w:p w14:paraId="6130F401"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Currently Pregnant </w:t>
            </w:r>
          </w:p>
        </w:tc>
        <w:tc>
          <w:tcPr>
            <w:tcW w:w="3510" w:type="dxa"/>
          </w:tcPr>
          <w:p w14:paraId="6130F402"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w:t>
            </w:r>
          </w:p>
        </w:tc>
        <w:tc>
          <w:tcPr>
            <w:tcW w:w="2386" w:type="dxa"/>
          </w:tcPr>
          <w:p w14:paraId="6130F403"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12.0</w:t>
            </w:r>
          </w:p>
        </w:tc>
      </w:tr>
      <w:tr w:rsidR="009A5E04" w:rsidRPr="00F90499" w14:paraId="6130F408" w14:textId="77777777" w:rsidTr="00C568F2">
        <w:trPr>
          <w:trHeight w:val="99"/>
        </w:trPr>
        <w:tc>
          <w:tcPr>
            <w:tcW w:w="3348" w:type="dxa"/>
          </w:tcPr>
          <w:p w14:paraId="6130F405"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Dental Problems </w:t>
            </w:r>
          </w:p>
        </w:tc>
        <w:tc>
          <w:tcPr>
            <w:tcW w:w="3510" w:type="dxa"/>
          </w:tcPr>
          <w:p w14:paraId="6130F406"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28%</w:t>
            </w:r>
          </w:p>
        </w:tc>
        <w:tc>
          <w:tcPr>
            <w:tcW w:w="2386" w:type="dxa"/>
          </w:tcPr>
          <w:p w14:paraId="6130F407"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2.0</w:t>
            </w:r>
          </w:p>
        </w:tc>
      </w:tr>
      <w:tr w:rsidR="009A5E04" w:rsidRPr="009A5E04" w14:paraId="6130F40C" w14:textId="77777777" w:rsidTr="00C568F2">
        <w:trPr>
          <w:trHeight w:val="99"/>
        </w:trPr>
        <w:tc>
          <w:tcPr>
            <w:tcW w:w="3348" w:type="dxa"/>
          </w:tcPr>
          <w:p w14:paraId="6130F409" w14:textId="77777777" w:rsidR="009A5E04" w:rsidRPr="008B399A" w:rsidRDefault="00DC4DB8" w:rsidP="009A5E04">
            <w:pPr>
              <w:autoSpaceDE w:val="0"/>
              <w:autoSpaceDN w:val="0"/>
              <w:adjustRightInd w:val="0"/>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ab/>
            </w:r>
            <w:r w:rsidR="009A5E04" w:rsidRPr="008B399A">
              <w:rPr>
                <w:rFonts w:asciiTheme="minorHAnsi" w:eastAsiaTheme="minorHAnsi" w:hAnsiTheme="minorHAnsi" w:cs="Times New Roman"/>
                <w:color w:val="000000"/>
                <w:sz w:val="22"/>
                <w:szCs w:val="22"/>
              </w:rPr>
              <w:t xml:space="preserve">Vaccinations </w:t>
            </w:r>
          </w:p>
        </w:tc>
        <w:tc>
          <w:tcPr>
            <w:tcW w:w="3510" w:type="dxa"/>
          </w:tcPr>
          <w:p w14:paraId="6130F40A"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20%</w:t>
            </w:r>
          </w:p>
        </w:tc>
        <w:tc>
          <w:tcPr>
            <w:tcW w:w="2386" w:type="dxa"/>
          </w:tcPr>
          <w:p w14:paraId="6130F40B" w14:textId="77777777" w:rsidR="009A5E04" w:rsidRPr="008B399A" w:rsidRDefault="009A5E04" w:rsidP="00DC4DB8">
            <w:pPr>
              <w:autoSpaceDE w:val="0"/>
              <w:autoSpaceDN w:val="0"/>
              <w:adjustRightInd w:val="0"/>
              <w:jc w:val="center"/>
              <w:rPr>
                <w:rFonts w:asciiTheme="minorHAnsi" w:eastAsiaTheme="minorHAnsi" w:hAnsiTheme="minorHAnsi" w:cs="Times New Roman"/>
                <w:color w:val="000000"/>
                <w:sz w:val="22"/>
                <w:szCs w:val="22"/>
              </w:rPr>
            </w:pPr>
            <w:r w:rsidRPr="008B399A">
              <w:rPr>
                <w:rFonts w:asciiTheme="minorHAnsi" w:eastAsiaTheme="minorHAnsi" w:hAnsiTheme="minorHAnsi" w:cs="Times New Roman"/>
                <w:color w:val="000000"/>
                <w:sz w:val="22"/>
                <w:szCs w:val="22"/>
              </w:rPr>
              <w:t>1.0</w:t>
            </w:r>
          </w:p>
        </w:tc>
      </w:tr>
    </w:tbl>
    <w:p w14:paraId="6130F40D" w14:textId="77777777" w:rsidR="009A5E04" w:rsidRDefault="009A5E04" w:rsidP="009A5E04"/>
    <w:p w14:paraId="6130F40E" w14:textId="77777777" w:rsidR="008B399A" w:rsidRDefault="008B399A" w:rsidP="009A5E04"/>
    <w:p w14:paraId="6130F40F" w14:textId="77777777" w:rsidR="008B399A" w:rsidRDefault="008B399A" w:rsidP="009A5E04"/>
    <w:p w14:paraId="6130F410" w14:textId="77777777" w:rsidR="008B399A" w:rsidRDefault="008B399A" w:rsidP="009A5E04"/>
    <w:p w14:paraId="6130F411" w14:textId="77777777" w:rsidR="008B399A" w:rsidRDefault="008B399A" w:rsidP="009A5E04"/>
    <w:tbl>
      <w:tblPr>
        <w:tblW w:w="9370" w:type="dxa"/>
        <w:tblLook w:val="04A0" w:firstRow="1" w:lastRow="0" w:firstColumn="1" w:lastColumn="0" w:noHBand="0" w:noVBand="1"/>
      </w:tblPr>
      <w:tblGrid>
        <w:gridCol w:w="4715"/>
        <w:gridCol w:w="4655"/>
      </w:tblGrid>
      <w:tr w:rsidR="003632BB" w:rsidRPr="003632BB" w14:paraId="6130F414" w14:textId="77777777" w:rsidTr="00C568F2">
        <w:trPr>
          <w:trHeight w:val="300"/>
        </w:trPr>
        <w:tc>
          <w:tcPr>
            <w:tcW w:w="4715" w:type="dxa"/>
            <w:noWrap/>
            <w:hideMark/>
          </w:tcPr>
          <w:p w14:paraId="6130F412" w14:textId="77777777" w:rsidR="003632BB" w:rsidRPr="008B399A" w:rsidRDefault="003632BB">
            <w:pPr>
              <w:rPr>
                <w:rFonts w:asciiTheme="minorHAnsi" w:eastAsia="Times New Roman" w:hAnsiTheme="minorHAnsi" w:cs="Times New Roman"/>
                <w:b/>
                <w:bCs/>
                <w:color w:val="000000"/>
                <w:sz w:val="22"/>
              </w:rPr>
            </w:pPr>
            <w:r w:rsidRPr="008B399A">
              <w:rPr>
                <w:rFonts w:asciiTheme="minorHAnsi" w:eastAsia="Times New Roman" w:hAnsiTheme="minorHAnsi" w:cs="Times New Roman"/>
                <w:b/>
                <w:bCs/>
                <w:color w:val="000000"/>
                <w:sz w:val="22"/>
              </w:rPr>
              <w:lastRenderedPageBreak/>
              <w:t>Foregone Medical Trips</w:t>
            </w:r>
          </w:p>
        </w:tc>
        <w:tc>
          <w:tcPr>
            <w:tcW w:w="4655" w:type="dxa"/>
            <w:noWrap/>
            <w:hideMark/>
          </w:tcPr>
          <w:p w14:paraId="6130F413"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 </w:t>
            </w:r>
          </w:p>
        </w:tc>
      </w:tr>
      <w:tr w:rsidR="003632BB" w:rsidRPr="003632BB" w14:paraId="6130F417" w14:textId="77777777" w:rsidTr="00C568F2">
        <w:trPr>
          <w:trHeight w:val="300"/>
        </w:trPr>
        <w:tc>
          <w:tcPr>
            <w:tcW w:w="4715" w:type="dxa"/>
            <w:noWrap/>
            <w:hideMark/>
          </w:tcPr>
          <w:p w14:paraId="6130F415"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 </w:t>
            </w:r>
          </w:p>
        </w:tc>
        <w:tc>
          <w:tcPr>
            <w:tcW w:w="4655" w:type="dxa"/>
            <w:noWrap/>
            <w:hideMark/>
          </w:tcPr>
          <w:p w14:paraId="6130F416"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Tindale Oliver Low Estimates</w:t>
            </w:r>
          </w:p>
        </w:tc>
      </w:tr>
      <w:tr w:rsidR="003632BB" w:rsidRPr="003632BB" w14:paraId="6130F41A" w14:textId="77777777" w:rsidTr="00C568F2">
        <w:trPr>
          <w:trHeight w:val="300"/>
        </w:trPr>
        <w:tc>
          <w:tcPr>
            <w:tcW w:w="4715" w:type="dxa"/>
            <w:noWrap/>
            <w:hideMark/>
          </w:tcPr>
          <w:p w14:paraId="6130F418"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 </w:t>
            </w:r>
          </w:p>
        </w:tc>
        <w:tc>
          <w:tcPr>
            <w:tcW w:w="4655" w:type="dxa"/>
            <w:noWrap/>
            <w:hideMark/>
          </w:tcPr>
          <w:p w14:paraId="6130F419"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((Foregone x Purpose %) x $357)</w:t>
            </w:r>
          </w:p>
        </w:tc>
      </w:tr>
      <w:tr w:rsidR="003632BB" w:rsidRPr="003632BB" w14:paraId="6130F41D" w14:textId="77777777" w:rsidTr="00C568F2">
        <w:trPr>
          <w:trHeight w:val="300"/>
        </w:trPr>
        <w:tc>
          <w:tcPr>
            <w:tcW w:w="4715" w:type="dxa"/>
            <w:noWrap/>
            <w:hideMark/>
          </w:tcPr>
          <w:p w14:paraId="6130F41B"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Total Cost of Foregone Medical trips</w:t>
            </w:r>
          </w:p>
        </w:tc>
        <w:tc>
          <w:tcPr>
            <w:tcW w:w="4655" w:type="dxa"/>
            <w:noWrap/>
            <w:hideMark/>
          </w:tcPr>
          <w:p w14:paraId="6130F41C"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 xml:space="preserve"> $                                                     373,147.38 </w:t>
            </w:r>
          </w:p>
        </w:tc>
      </w:tr>
      <w:tr w:rsidR="003632BB" w:rsidRPr="003632BB" w14:paraId="6130F420" w14:textId="77777777" w:rsidTr="00C568F2">
        <w:trPr>
          <w:trHeight w:val="315"/>
        </w:trPr>
        <w:tc>
          <w:tcPr>
            <w:tcW w:w="4715" w:type="dxa"/>
            <w:hideMark/>
          </w:tcPr>
          <w:p w14:paraId="6130F41E"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Cost per trip</w:t>
            </w:r>
          </w:p>
        </w:tc>
        <w:tc>
          <w:tcPr>
            <w:tcW w:w="4655" w:type="dxa"/>
            <w:noWrap/>
            <w:hideMark/>
          </w:tcPr>
          <w:p w14:paraId="6130F41F" w14:textId="77777777" w:rsidR="003632BB" w:rsidRPr="008B399A" w:rsidRDefault="003632BB" w:rsidP="003632BB">
            <w:pPr>
              <w:rPr>
                <w:rFonts w:asciiTheme="minorHAnsi" w:eastAsia="Times New Roman" w:hAnsiTheme="minorHAnsi" w:cs="Times New Roman"/>
                <w:color w:val="000000"/>
                <w:sz w:val="22"/>
              </w:rPr>
            </w:pPr>
            <w:r w:rsidRPr="008B399A">
              <w:rPr>
                <w:rFonts w:asciiTheme="minorHAnsi" w:eastAsia="Times New Roman" w:hAnsiTheme="minorHAnsi" w:cs="Times New Roman"/>
                <w:color w:val="000000"/>
                <w:sz w:val="22"/>
              </w:rPr>
              <w:t xml:space="preserve"> $                                                               11.81 </w:t>
            </w:r>
          </w:p>
        </w:tc>
      </w:tr>
    </w:tbl>
    <w:p w14:paraId="6130F421" w14:textId="77777777" w:rsidR="003632BB" w:rsidRPr="009A5E04" w:rsidRDefault="003632BB" w:rsidP="009A5E04"/>
    <w:p w14:paraId="6130F422" w14:textId="77777777" w:rsidR="00DC4DB8" w:rsidRDefault="00DC4DB8" w:rsidP="00DC4DB8">
      <w:pPr>
        <w:pStyle w:val="Subtitle"/>
        <w:numPr>
          <w:ilvl w:val="0"/>
          <w:numId w:val="2"/>
        </w:numPr>
      </w:pPr>
      <w:r>
        <w:t>Work Trips</w:t>
      </w:r>
    </w:p>
    <w:p w14:paraId="6130F423" w14:textId="77777777" w:rsidR="00DC4DB8" w:rsidRDefault="00DC4DB8" w:rsidP="00DC4DB8"/>
    <w:p w14:paraId="6130F424" w14:textId="77777777" w:rsidR="00DC4DB8" w:rsidRPr="00854619" w:rsidRDefault="00DC4DB8" w:rsidP="00F20795">
      <w:pPr>
        <w:jc w:val="both"/>
        <w:rPr>
          <w:rFonts w:asciiTheme="minorHAnsi" w:hAnsiTheme="minorHAnsi"/>
          <w:szCs w:val="22"/>
        </w:rPr>
      </w:pPr>
      <w:r w:rsidRPr="00854619">
        <w:rPr>
          <w:rFonts w:asciiTheme="minorHAnsi" w:hAnsiTheme="minorHAnsi"/>
          <w:szCs w:val="22"/>
        </w:rPr>
        <w:t xml:space="preserve">A four-person household receiving Temporary Assistance for Needy Families (TANF) and Supplemental Nutrition Assistance Program (SNAP) </w:t>
      </w:r>
      <w:r w:rsidR="003632BB" w:rsidRPr="00854619">
        <w:rPr>
          <w:rFonts w:asciiTheme="minorHAnsi" w:hAnsiTheme="minorHAnsi"/>
          <w:szCs w:val="22"/>
        </w:rPr>
        <w:t>assistance</w:t>
      </w:r>
      <w:r w:rsidRPr="00854619">
        <w:rPr>
          <w:rFonts w:asciiTheme="minorHAnsi" w:hAnsiTheme="minorHAnsi"/>
          <w:szCs w:val="22"/>
        </w:rPr>
        <w:t xml:space="preserve"> could result in $24,400 in state and federal expenditures. These are costs that could potentially be avoided by providing transit services to transportation-disadvantaged individuals. Providing transit to work for one individual for a year would require approximately 500 trips, or two trips per day (one trip to work and a return trip home) for 250 working days per year. If providing these 500 trips allows the individual to keep a job and not require government assistance, government payments would be reduced by $24,400 per year, or approximately $49 per trip. In most cases, this is significantly greater than the expense of providing the transportation. </w:t>
      </w:r>
    </w:p>
    <w:p w14:paraId="6130F425" w14:textId="77777777" w:rsidR="00DC4DB8" w:rsidRDefault="00DC4DB8" w:rsidP="00DC4DB8">
      <w:pPr>
        <w:rPr>
          <w:sz w:val="22"/>
          <w:szCs w:val="22"/>
        </w:rPr>
      </w:pPr>
    </w:p>
    <w:p w14:paraId="6130F426" w14:textId="77777777" w:rsidR="004B582D" w:rsidRDefault="004B582D" w:rsidP="004B582D">
      <w:pPr>
        <w:rPr>
          <w:rFonts w:ascii="Calibri" w:hAnsi="Calibri"/>
          <w:b/>
          <w:bCs/>
          <w:color w:val="000000"/>
          <w:sz w:val="22"/>
          <w:szCs w:val="22"/>
          <w:u w:val="single"/>
        </w:rPr>
      </w:pPr>
    </w:p>
    <w:tbl>
      <w:tblPr>
        <w:tblW w:w="9250" w:type="dxa"/>
        <w:tblLook w:val="04A0" w:firstRow="1" w:lastRow="0" w:firstColumn="1" w:lastColumn="0" w:noHBand="0" w:noVBand="1"/>
      </w:tblPr>
      <w:tblGrid>
        <w:gridCol w:w="4236"/>
        <w:gridCol w:w="5014"/>
      </w:tblGrid>
      <w:tr w:rsidR="004B582D" w:rsidRPr="004B582D" w14:paraId="6130F429" w14:textId="77777777" w:rsidTr="00C568F2">
        <w:trPr>
          <w:trHeight w:val="312"/>
        </w:trPr>
        <w:tc>
          <w:tcPr>
            <w:tcW w:w="4236" w:type="dxa"/>
            <w:noWrap/>
          </w:tcPr>
          <w:p w14:paraId="6130F427" w14:textId="77777777" w:rsidR="004B582D" w:rsidRPr="00F20795" w:rsidRDefault="004B582D">
            <w:pPr>
              <w:rPr>
                <w:rFonts w:asciiTheme="minorHAnsi" w:hAnsiTheme="minorHAnsi"/>
                <w:sz w:val="22"/>
              </w:rPr>
            </w:pPr>
            <w:r w:rsidRPr="00F20795">
              <w:rPr>
                <w:rFonts w:asciiTheme="minorHAnsi" w:hAnsiTheme="minorHAnsi"/>
                <w:b/>
                <w:bCs/>
                <w:color w:val="000000"/>
                <w:sz w:val="22"/>
              </w:rPr>
              <w:t>Foregone Work Trips</w:t>
            </w:r>
          </w:p>
        </w:tc>
        <w:tc>
          <w:tcPr>
            <w:tcW w:w="5014" w:type="dxa"/>
            <w:noWrap/>
          </w:tcPr>
          <w:p w14:paraId="6130F428" w14:textId="77777777" w:rsidR="004B582D" w:rsidRPr="00F20795" w:rsidRDefault="004B582D">
            <w:pPr>
              <w:rPr>
                <w:rFonts w:asciiTheme="minorHAnsi" w:hAnsiTheme="minorHAnsi"/>
                <w:sz w:val="22"/>
              </w:rPr>
            </w:pPr>
          </w:p>
        </w:tc>
      </w:tr>
      <w:tr w:rsidR="004B582D" w:rsidRPr="004B582D" w14:paraId="6130F42C" w14:textId="77777777" w:rsidTr="00C568F2">
        <w:trPr>
          <w:trHeight w:val="312"/>
        </w:trPr>
        <w:tc>
          <w:tcPr>
            <w:tcW w:w="4236" w:type="dxa"/>
            <w:noWrap/>
            <w:hideMark/>
          </w:tcPr>
          <w:p w14:paraId="6130F42A" w14:textId="77777777" w:rsidR="004B582D" w:rsidRPr="00F20795" w:rsidRDefault="004B582D">
            <w:pPr>
              <w:rPr>
                <w:rFonts w:asciiTheme="minorHAnsi" w:hAnsiTheme="minorHAnsi"/>
                <w:sz w:val="22"/>
              </w:rPr>
            </w:pPr>
            <w:r w:rsidRPr="00F20795">
              <w:rPr>
                <w:rFonts w:asciiTheme="minorHAnsi" w:hAnsiTheme="minorHAnsi"/>
                <w:sz w:val="22"/>
              </w:rPr>
              <w:t> </w:t>
            </w:r>
          </w:p>
        </w:tc>
        <w:tc>
          <w:tcPr>
            <w:tcW w:w="5014" w:type="dxa"/>
            <w:noWrap/>
            <w:hideMark/>
          </w:tcPr>
          <w:p w14:paraId="6130F42B" w14:textId="77777777" w:rsidR="004B582D" w:rsidRPr="00F20795" w:rsidRDefault="004B582D" w:rsidP="00C568F2">
            <w:pPr>
              <w:jc w:val="center"/>
              <w:rPr>
                <w:rFonts w:asciiTheme="minorHAnsi" w:hAnsiTheme="minorHAnsi"/>
                <w:sz w:val="22"/>
              </w:rPr>
            </w:pPr>
            <w:r w:rsidRPr="00F20795">
              <w:rPr>
                <w:rFonts w:asciiTheme="minorHAnsi" w:hAnsiTheme="minorHAnsi"/>
                <w:sz w:val="22"/>
              </w:rPr>
              <w:t>Tindale Oliver Low Estimates</w:t>
            </w:r>
          </w:p>
        </w:tc>
      </w:tr>
      <w:tr w:rsidR="004B582D" w:rsidRPr="004B582D" w14:paraId="6130F42F" w14:textId="77777777" w:rsidTr="00C568F2">
        <w:trPr>
          <w:trHeight w:val="312"/>
        </w:trPr>
        <w:tc>
          <w:tcPr>
            <w:tcW w:w="0" w:type="auto"/>
            <w:noWrap/>
            <w:hideMark/>
          </w:tcPr>
          <w:p w14:paraId="6130F42D" w14:textId="77777777" w:rsidR="004B582D" w:rsidRPr="00F20795" w:rsidRDefault="004B582D">
            <w:pPr>
              <w:rPr>
                <w:rFonts w:asciiTheme="minorHAnsi" w:hAnsiTheme="minorHAnsi"/>
                <w:sz w:val="22"/>
              </w:rPr>
            </w:pPr>
            <w:r w:rsidRPr="00F20795">
              <w:rPr>
                <w:rFonts w:asciiTheme="minorHAnsi" w:hAnsiTheme="minorHAnsi"/>
                <w:sz w:val="22"/>
              </w:rPr>
              <w:t> </w:t>
            </w:r>
          </w:p>
        </w:tc>
        <w:tc>
          <w:tcPr>
            <w:tcW w:w="0" w:type="auto"/>
            <w:noWrap/>
            <w:hideMark/>
          </w:tcPr>
          <w:p w14:paraId="6130F42E" w14:textId="77777777" w:rsidR="004B582D" w:rsidRPr="00F20795" w:rsidRDefault="004B582D" w:rsidP="00C568F2">
            <w:pPr>
              <w:jc w:val="center"/>
              <w:rPr>
                <w:rFonts w:asciiTheme="minorHAnsi" w:hAnsiTheme="minorHAnsi"/>
                <w:sz w:val="22"/>
              </w:rPr>
            </w:pPr>
            <w:r w:rsidRPr="00F20795">
              <w:rPr>
                <w:rFonts w:asciiTheme="minorHAnsi" w:hAnsiTheme="minorHAnsi"/>
                <w:sz w:val="22"/>
              </w:rPr>
              <w:t>((Foregone x Purpose%) x $49</w:t>
            </w:r>
          </w:p>
        </w:tc>
      </w:tr>
      <w:tr w:rsidR="004B582D" w:rsidRPr="004B582D" w14:paraId="6130F432" w14:textId="77777777" w:rsidTr="00C568F2">
        <w:trPr>
          <w:trHeight w:val="312"/>
        </w:trPr>
        <w:tc>
          <w:tcPr>
            <w:tcW w:w="0" w:type="auto"/>
            <w:noWrap/>
            <w:hideMark/>
          </w:tcPr>
          <w:p w14:paraId="6130F430" w14:textId="77777777" w:rsidR="004B582D" w:rsidRPr="00F20795" w:rsidRDefault="004B582D">
            <w:pPr>
              <w:rPr>
                <w:rFonts w:asciiTheme="minorHAnsi" w:hAnsiTheme="minorHAnsi"/>
                <w:sz w:val="22"/>
              </w:rPr>
            </w:pPr>
            <w:r w:rsidRPr="00F20795">
              <w:rPr>
                <w:rFonts w:asciiTheme="minorHAnsi" w:hAnsiTheme="minorHAnsi"/>
                <w:sz w:val="22"/>
              </w:rPr>
              <w:t>Total Cost of Foregone Work Trips</w:t>
            </w:r>
          </w:p>
        </w:tc>
        <w:tc>
          <w:tcPr>
            <w:tcW w:w="0" w:type="auto"/>
            <w:noWrap/>
            <w:hideMark/>
          </w:tcPr>
          <w:p w14:paraId="6130F431" w14:textId="77777777" w:rsidR="004B582D" w:rsidRPr="00F20795" w:rsidRDefault="004B582D">
            <w:pPr>
              <w:rPr>
                <w:rFonts w:asciiTheme="minorHAnsi" w:hAnsiTheme="minorHAnsi"/>
                <w:sz w:val="22"/>
              </w:rPr>
            </w:pPr>
            <w:r w:rsidRPr="00F20795">
              <w:rPr>
                <w:rFonts w:asciiTheme="minorHAnsi" w:hAnsiTheme="minorHAnsi"/>
                <w:sz w:val="22"/>
              </w:rPr>
              <w:t xml:space="preserve"> $                                                     102,432.62 </w:t>
            </w:r>
          </w:p>
        </w:tc>
      </w:tr>
      <w:tr w:rsidR="004B582D" w:rsidRPr="004B582D" w14:paraId="6130F435" w14:textId="77777777" w:rsidTr="00C568F2">
        <w:trPr>
          <w:trHeight w:val="328"/>
        </w:trPr>
        <w:tc>
          <w:tcPr>
            <w:tcW w:w="4236" w:type="dxa"/>
            <w:hideMark/>
          </w:tcPr>
          <w:p w14:paraId="6130F433" w14:textId="77777777" w:rsidR="004B582D" w:rsidRPr="00F20795" w:rsidRDefault="004B582D">
            <w:pPr>
              <w:rPr>
                <w:rFonts w:asciiTheme="minorHAnsi" w:hAnsiTheme="minorHAnsi"/>
                <w:sz w:val="22"/>
              </w:rPr>
            </w:pPr>
            <w:r w:rsidRPr="00F20795">
              <w:rPr>
                <w:rFonts w:asciiTheme="minorHAnsi" w:hAnsiTheme="minorHAnsi"/>
                <w:sz w:val="22"/>
              </w:rPr>
              <w:t>Cost per trip</w:t>
            </w:r>
          </w:p>
        </w:tc>
        <w:tc>
          <w:tcPr>
            <w:tcW w:w="0" w:type="auto"/>
            <w:noWrap/>
            <w:hideMark/>
          </w:tcPr>
          <w:p w14:paraId="6130F434" w14:textId="77777777" w:rsidR="004B582D" w:rsidRPr="00F20795" w:rsidRDefault="004B582D">
            <w:pPr>
              <w:rPr>
                <w:rFonts w:asciiTheme="minorHAnsi" w:hAnsiTheme="minorHAnsi"/>
                <w:sz w:val="22"/>
              </w:rPr>
            </w:pPr>
            <w:r w:rsidRPr="00F20795">
              <w:rPr>
                <w:rFonts w:asciiTheme="minorHAnsi" w:hAnsiTheme="minorHAnsi"/>
                <w:sz w:val="22"/>
              </w:rPr>
              <w:t xml:space="preserve"> $                                                                3.24 </w:t>
            </w:r>
          </w:p>
        </w:tc>
      </w:tr>
    </w:tbl>
    <w:p w14:paraId="6130F436" w14:textId="77777777" w:rsidR="004B582D" w:rsidRDefault="004B582D" w:rsidP="00DC4DB8">
      <w:r w:rsidRPr="004B582D">
        <w:t xml:space="preserve"> </w:t>
      </w:r>
    </w:p>
    <w:p w14:paraId="6130F437" w14:textId="77777777" w:rsidR="004B582D" w:rsidRDefault="004B582D" w:rsidP="004B582D">
      <w:pPr>
        <w:pStyle w:val="Subtitle"/>
        <w:numPr>
          <w:ilvl w:val="0"/>
          <w:numId w:val="2"/>
        </w:numPr>
      </w:pPr>
      <w:r>
        <w:t>Other Trips</w:t>
      </w:r>
    </w:p>
    <w:p w14:paraId="6130F438" w14:textId="77777777" w:rsidR="004B582D" w:rsidRPr="00854619" w:rsidRDefault="004B582D" w:rsidP="004B582D">
      <w:pPr>
        <w:rPr>
          <w:rFonts w:asciiTheme="minorHAnsi" w:hAnsiTheme="minorHAnsi"/>
          <w:sz w:val="28"/>
        </w:rPr>
      </w:pPr>
    </w:p>
    <w:p w14:paraId="6130F439" w14:textId="77777777" w:rsidR="00671A09" w:rsidRDefault="004B582D" w:rsidP="00F20795">
      <w:pPr>
        <w:jc w:val="both"/>
        <w:rPr>
          <w:rFonts w:asciiTheme="minorHAnsi" w:hAnsiTheme="minorHAnsi"/>
          <w:szCs w:val="22"/>
        </w:rPr>
      </w:pPr>
      <w:r w:rsidRPr="00854619">
        <w:rPr>
          <w:rFonts w:asciiTheme="minorHAnsi" w:hAnsiTheme="minorHAnsi"/>
          <w:szCs w:val="22"/>
        </w:rPr>
        <w:t>The cost of foregone trips for other trip purposes is calculated using the concept of consumer surplus. Consumer surplus is the difference between the maximum price a consumer is willing to pay and the price they actually do pay. Providing transit service increases consumer surplus by decreasing the amount users must pay for a trip</w:t>
      </w:r>
      <w:r w:rsidR="00671A09">
        <w:rPr>
          <w:rFonts w:asciiTheme="minorHAnsi" w:hAnsiTheme="minorHAnsi"/>
          <w:szCs w:val="22"/>
        </w:rPr>
        <w:t>.</w:t>
      </w:r>
    </w:p>
    <w:p w14:paraId="6130F43A" w14:textId="77777777" w:rsidR="00671A09" w:rsidRPr="00F20795" w:rsidRDefault="00671A09" w:rsidP="00671A09">
      <w:pPr>
        <w:autoSpaceDE w:val="0"/>
        <w:autoSpaceDN w:val="0"/>
        <w:adjustRightInd w:val="0"/>
        <w:rPr>
          <w:rFonts w:asciiTheme="minorHAnsi" w:eastAsiaTheme="minorHAnsi" w:hAnsiTheme="minorHAnsi" w:cs="Times New Roman"/>
          <w:color w:val="000000"/>
        </w:rPr>
      </w:pPr>
    </w:p>
    <w:p w14:paraId="6130F43B" w14:textId="77777777" w:rsidR="004B582D" w:rsidRPr="00854619" w:rsidRDefault="004B582D" w:rsidP="004B582D">
      <w:pPr>
        <w:rPr>
          <w:rFonts w:asciiTheme="minorHAnsi" w:hAnsiTheme="minorHAnsi"/>
          <w:szCs w:val="22"/>
        </w:rPr>
      </w:pPr>
    </w:p>
    <w:p w14:paraId="6130F43C" w14:textId="77777777" w:rsidR="007B35EE" w:rsidRDefault="00863AB5" w:rsidP="007B35EE">
      <w:pPr>
        <w:keepNext/>
        <w:jc w:val="center"/>
      </w:pPr>
      <w:r>
        <w:rPr>
          <w:noProof/>
        </w:rPr>
        <w:lastRenderedPageBreak/>
        <w:drawing>
          <wp:inline distT="0" distB="0" distL="0" distR="0" wp14:anchorId="6130F5AC" wp14:editId="6130F5AD">
            <wp:extent cx="5938637" cy="3935896"/>
            <wp:effectExtent l="0" t="0" r="508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8637" cy="3935896"/>
                    </a:xfrm>
                    <a:prstGeom prst="rect">
                      <a:avLst/>
                    </a:prstGeom>
                    <a:noFill/>
                    <a:ln>
                      <a:noFill/>
                    </a:ln>
                  </pic:spPr>
                </pic:pic>
              </a:graphicData>
            </a:graphic>
          </wp:inline>
        </w:drawing>
      </w:r>
    </w:p>
    <w:p w14:paraId="6130F43D" w14:textId="77777777" w:rsidR="004B582D" w:rsidRDefault="007B35EE" w:rsidP="007B35EE">
      <w:pPr>
        <w:pStyle w:val="Caption"/>
        <w:jc w:val="center"/>
      </w:pPr>
      <w:r>
        <w:t>Consumer Surplus Supply and Demand Model</w:t>
      </w:r>
    </w:p>
    <w:p w14:paraId="6130F43E" w14:textId="77777777" w:rsidR="004B582D" w:rsidRDefault="004B582D" w:rsidP="004B582D">
      <w:pPr>
        <w:jc w:val="center"/>
      </w:pPr>
    </w:p>
    <w:p w14:paraId="6130F43F" w14:textId="77777777" w:rsidR="00037E65" w:rsidRDefault="00037E65" w:rsidP="00037E65">
      <w:pPr>
        <w:jc w:val="both"/>
        <w:rPr>
          <w:rFonts w:asciiTheme="minorHAnsi" w:eastAsiaTheme="minorHAnsi" w:hAnsiTheme="minorHAnsi" w:cs="Times New Roman"/>
          <w:color w:val="auto"/>
        </w:rPr>
      </w:pPr>
      <w:r w:rsidRPr="00B36E3E">
        <w:rPr>
          <w:rFonts w:asciiTheme="minorHAnsi" w:eastAsiaTheme="minorHAnsi" w:hAnsiTheme="minorHAnsi" w:cs="Times New Roman"/>
          <w:color w:val="auto"/>
        </w:rPr>
        <w:t xml:space="preserve">In the graph </w:t>
      </w:r>
      <w:r>
        <w:rPr>
          <w:rFonts w:asciiTheme="minorHAnsi" w:eastAsiaTheme="minorHAnsi" w:hAnsiTheme="minorHAnsi" w:cs="Times New Roman"/>
          <w:color w:val="auto"/>
        </w:rPr>
        <w:t>above</w:t>
      </w:r>
      <w:r w:rsidRPr="00B36E3E">
        <w:rPr>
          <w:rFonts w:asciiTheme="minorHAnsi" w:eastAsiaTheme="minorHAnsi" w:hAnsiTheme="minorHAnsi" w:cs="Times New Roman"/>
          <w:color w:val="auto"/>
        </w:rPr>
        <w:t>, P</w:t>
      </w:r>
      <w:r>
        <w:rPr>
          <w:rFonts w:asciiTheme="minorHAnsi" w:eastAsiaTheme="minorHAnsi" w:hAnsiTheme="minorHAnsi" w:cs="Times New Roman"/>
          <w:color w:val="auto"/>
        </w:rPr>
        <w:t>₁</w:t>
      </w:r>
      <w:r w:rsidRPr="00B36E3E">
        <w:rPr>
          <w:rFonts w:asciiTheme="minorHAnsi" w:eastAsiaTheme="minorHAnsi" w:hAnsiTheme="minorHAnsi" w:cs="Times New Roman"/>
          <w:color w:val="auto"/>
        </w:rPr>
        <w:t xml:space="preserve"> is the price travelers would pay for a trip in the absence of transit. This price represents the least costly alternative available, which could be the cost per trip of owning and operating an automobile, getting a ride from someone else, using a taxi, etc. At this price, the number of trips taken is Q</w:t>
      </w:r>
      <w:r>
        <w:rPr>
          <w:rFonts w:asciiTheme="minorHAnsi" w:eastAsiaTheme="minorHAnsi" w:hAnsiTheme="minorHAnsi" w:cs="Times New Roman"/>
          <w:color w:val="auto"/>
        </w:rPr>
        <w:t>₁</w:t>
      </w:r>
      <w:r w:rsidRPr="00B36E3E">
        <w:rPr>
          <w:rFonts w:asciiTheme="minorHAnsi" w:eastAsiaTheme="minorHAnsi" w:hAnsiTheme="minorHAnsi" w:cs="Times New Roman"/>
          <w:color w:val="auto"/>
        </w:rPr>
        <w:t>. P</w:t>
      </w:r>
      <w:r>
        <w:rPr>
          <w:rFonts w:asciiTheme="minorHAnsi" w:eastAsiaTheme="minorHAnsi" w:hAnsiTheme="minorHAnsi" w:cs="Times New Roman"/>
          <w:color w:val="auto"/>
        </w:rPr>
        <w:t>₀</w:t>
      </w:r>
      <w:r w:rsidRPr="00B36E3E">
        <w:rPr>
          <w:rFonts w:asciiTheme="minorHAnsi" w:eastAsiaTheme="minorHAnsi" w:hAnsiTheme="minorHAnsi" w:cs="Times New Roman"/>
          <w:color w:val="auto"/>
        </w:rPr>
        <w:t xml:space="preserve"> represents the transit fare, or the price to travel by transit. By introducing transit, the price of travel decreases from P</w:t>
      </w:r>
      <w:r>
        <w:rPr>
          <w:rFonts w:asciiTheme="minorHAnsi" w:eastAsiaTheme="minorHAnsi" w:hAnsiTheme="minorHAnsi" w:cs="Times New Roman"/>
          <w:color w:val="auto"/>
        </w:rPr>
        <w:t>₁</w:t>
      </w:r>
      <w:r w:rsidRPr="00B36E3E">
        <w:rPr>
          <w:rFonts w:asciiTheme="minorHAnsi" w:eastAsiaTheme="minorHAnsi" w:hAnsiTheme="minorHAnsi" w:cs="Times New Roman"/>
          <w:color w:val="auto"/>
        </w:rPr>
        <w:t xml:space="preserve"> to P</w:t>
      </w:r>
      <w:r>
        <w:rPr>
          <w:rFonts w:asciiTheme="minorHAnsi" w:eastAsiaTheme="minorHAnsi" w:hAnsiTheme="minorHAnsi" w:cs="Times New Roman"/>
          <w:color w:val="auto"/>
        </w:rPr>
        <w:t>₀</w:t>
      </w:r>
      <w:r w:rsidRPr="00B36E3E">
        <w:rPr>
          <w:rFonts w:asciiTheme="minorHAnsi" w:eastAsiaTheme="minorHAnsi" w:hAnsiTheme="minorHAnsi" w:cs="Times New Roman"/>
          <w:color w:val="auto"/>
        </w:rPr>
        <w:t>, and the number of trips increases from Q</w:t>
      </w:r>
      <w:r>
        <w:rPr>
          <w:rFonts w:asciiTheme="minorHAnsi" w:eastAsiaTheme="minorHAnsi" w:hAnsiTheme="minorHAnsi" w:cs="Times New Roman"/>
          <w:color w:val="auto"/>
        </w:rPr>
        <w:t>₁</w:t>
      </w:r>
      <w:r w:rsidRPr="00B36E3E">
        <w:rPr>
          <w:rFonts w:asciiTheme="minorHAnsi" w:eastAsiaTheme="minorHAnsi" w:hAnsiTheme="minorHAnsi" w:cs="Times New Roman"/>
          <w:color w:val="auto"/>
        </w:rPr>
        <w:t xml:space="preserve"> to Q</w:t>
      </w:r>
      <w:r>
        <w:rPr>
          <w:rFonts w:asciiTheme="minorHAnsi" w:eastAsiaTheme="minorHAnsi" w:hAnsiTheme="minorHAnsi" w:cs="Times New Roman"/>
          <w:color w:val="auto"/>
        </w:rPr>
        <w:t>₀</w:t>
      </w:r>
      <w:r w:rsidRPr="00B36E3E">
        <w:rPr>
          <w:rFonts w:asciiTheme="minorHAnsi" w:eastAsiaTheme="minorHAnsi" w:hAnsiTheme="minorHAnsi" w:cs="Times New Roman"/>
          <w:color w:val="auto"/>
        </w:rPr>
        <w:t>. The difference between Q</w:t>
      </w:r>
      <w:r>
        <w:rPr>
          <w:rFonts w:asciiTheme="minorHAnsi" w:eastAsiaTheme="minorHAnsi" w:hAnsiTheme="minorHAnsi" w:cs="Times New Roman"/>
          <w:color w:val="auto"/>
        </w:rPr>
        <w:t>₁</w:t>
      </w:r>
      <w:r w:rsidRPr="00B36E3E">
        <w:rPr>
          <w:rFonts w:asciiTheme="minorHAnsi" w:eastAsiaTheme="minorHAnsi" w:hAnsiTheme="minorHAnsi" w:cs="Times New Roman"/>
          <w:color w:val="auto"/>
        </w:rPr>
        <w:t xml:space="preserve"> and Q</w:t>
      </w:r>
      <w:r>
        <w:rPr>
          <w:rFonts w:asciiTheme="minorHAnsi" w:eastAsiaTheme="minorHAnsi" w:hAnsiTheme="minorHAnsi" w:cs="Times New Roman"/>
          <w:color w:val="auto"/>
        </w:rPr>
        <w:t>₀</w:t>
      </w:r>
      <w:r w:rsidRPr="00B36E3E">
        <w:rPr>
          <w:rFonts w:asciiTheme="minorHAnsi" w:eastAsiaTheme="minorHAnsi" w:hAnsiTheme="minorHAnsi" w:cs="Times New Roman"/>
          <w:color w:val="auto"/>
        </w:rPr>
        <w:t xml:space="preserve"> is the number of trips that would be foregone in the absence of transit.</w:t>
      </w:r>
    </w:p>
    <w:p w14:paraId="6130F440" w14:textId="77777777" w:rsidR="00037E65" w:rsidRPr="00671A09" w:rsidRDefault="00037E65" w:rsidP="00037E65">
      <w:pPr>
        <w:jc w:val="both"/>
        <w:rPr>
          <w:rFonts w:asciiTheme="minorHAnsi" w:hAnsiTheme="minorHAnsi"/>
        </w:rPr>
      </w:pPr>
    </w:p>
    <w:p w14:paraId="6130F441" w14:textId="77777777" w:rsidR="00037E65" w:rsidRDefault="004B582D" w:rsidP="00037E65">
      <w:pPr>
        <w:jc w:val="both"/>
        <w:rPr>
          <w:rFonts w:asciiTheme="minorHAnsi" w:hAnsiTheme="minorHAnsi"/>
        </w:rPr>
      </w:pPr>
      <w:r w:rsidRPr="004A1D7A">
        <w:rPr>
          <w:rFonts w:asciiTheme="minorHAnsi" w:hAnsiTheme="minorHAnsi"/>
        </w:rPr>
        <w:t>Determining the cost of a foregone trip, therefore, requires information about transit fares (P</w:t>
      </w:r>
      <w:r w:rsidR="00671A09">
        <w:rPr>
          <w:rFonts w:asciiTheme="minorHAnsi" w:hAnsiTheme="minorHAnsi"/>
        </w:rPr>
        <w:t>₀</w:t>
      </w:r>
      <w:r w:rsidRPr="004A1D7A">
        <w:rPr>
          <w:rFonts w:asciiTheme="minorHAnsi" w:hAnsiTheme="minorHAnsi"/>
        </w:rPr>
        <w:t>) and the cost of traveling by the most likely alternative (P</w:t>
      </w:r>
      <w:r w:rsidR="00671A09">
        <w:rPr>
          <w:rFonts w:asciiTheme="minorHAnsi" w:hAnsiTheme="minorHAnsi"/>
        </w:rPr>
        <w:t>₁</w:t>
      </w:r>
      <w:r w:rsidRPr="004A1D7A">
        <w:rPr>
          <w:rFonts w:asciiTheme="minorHAnsi" w:hAnsiTheme="minorHAnsi"/>
        </w:rPr>
        <w:t xml:space="preserve">). </w:t>
      </w:r>
      <w:r w:rsidR="00037E65" w:rsidRPr="00854619">
        <w:rPr>
          <w:rFonts w:asciiTheme="minorHAnsi" w:hAnsiTheme="minorHAnsi"/>
        </w:rPr>
        <w:t>For this report, the lowest cost alternative was found to be Ride With</w:t>
      </w:r>
      <w:r w:rsidR="00863AB5">
        <w:rPr>
          <w:rFonts w:asciiTheme="minorHAnsi" w:hAnsiTheme="minorHAnsi"/>
        </w:rPr>
        <w:t xml:space="preserve"> </w:t>
      </w:r>
      <w:r w:rsidR="00037E65" w:rsidRPr="00854619">
        <w:rPr>
          <w:rFonts w:asciiTheme="minorHAnsi" w:hAnsiTheme="minorHAnsi"/>
        </w:rPr>
        <w:t>Someone, at $1.58 per trip, compared to Drive Own Car at $1.95 per trip, and Take a Taxi at $6.75 per trip. The Transit Fare was the recommended $1.00 per trip from the Tindale Oliver study.</w:t>
      </w:r>
    </w:p>
    <w:p w14:paraId="6130F442" w14:textId="77777777" w:rsidR="00037E65" w:rsidRDefault="00037E65" w:rsidP="00037E65">
      <w:pPr>
        <w:jc w:val="both"/>
        <w:rPr>
          <w:rFonts w:asciiTheme="minorHAnsi" w:hAnsiTheme="minorHAnsi"/>
        </w:rPr>
      </w:pPr>
    </w:p>
    <w:p w14:paraId="6130F443" w14:textId="77777777" w:rsidR="00037E65" w:rsidRPr="00037E65" w:rsidRDefault="00037E65" w:rsidP="00037E65">
      <w:pPr>
        <w:jc w:val="both"/>
        <w:rPr>
          <w:rFonts w:asciiTheme="minorHAnsi" w:hAnsiTheme="minorHAnsi"/>
        </w:rPr>
      </w:pPr>
      <w:r w:rsidRPr="00F20795">
        <w:rPr>
          <w:rFonts w:asciiTheme="minorHAnsi" w:hAnsiTheme="minorHAnsi"/>
        </w:rPr>
        <w:t>When price decreases from P</w:t>
      </w:r>
      <w:r>
        <w:rPr>
          <w:rFonts w:asciiTheme="minorHAnsi" w:hAnsiTheme="minorHAnsi"/>
        </w:rPr>
        <w:t>₁</w:t>
      </w:r>
      <w:r w:rsidRPr="00F20795">
        <w:rPr>
          <w:rFonts w:asciiTheme="minorHAnsi" w:hAnsiTheme="minorHAnsi"/>
        </w:rPr>
        <w:t xml:space="preserve"> to P</w:t>
      </w:r>
      <w:r>
        <w:rPr>
          <w:rFonts w:asciiTheme="minorHAnsi" w:hAnsiTheme="minorHAnsi"/>
        </w:rPr>
        <w:t>₀</w:t>
      </w:r>
      <w:r w:rsidRPr="00F20795">
        <w:rPr>
          <w:rFonts w:asciiTheme="minorHAnsi" w:hAnsiTheme="minorHAnsi"/>
        </w:rPr>
        <w:t>, the increase in consumer surplus is (P</w:t>
      </w:r>
      <w:r>
        <w:rPr>
          <w:rFonts w:asciiTheme="minorHAnsi" w:hAnsiTheme="minorHAnsi"/>
        </w:rPr>
        <w:t>₁</w:t>
      </w:r>
      <w:r w:rsidRPr="00F20795">
        <w:rPr>
          <w:rFonts w:asciiTheme="minorHAnsi" w:hAnsiTheme="minorHAnsi"/>
        </w:rPr>
        <w:t xml:space="preserve"> – P</w:t>
      </w:r>
      <w:r>
        <w:rPr>
          <w:rFonts w:asciiTheme="minorHAnsi" w:hAnsiTheme="minorHAnsi"/>
        </w:rPr>
        <w:t>₀</w:t>
      </w:r>
      <w:r w:rsidRPr="00F20795">
        <w:rPr>
          <w:rFonts w:asciiTheme="minorHAnsi" w:hAnsiTheme="minorHAnsi"/>
        </w:rPr>
        <w:t>)*Q</w:t>
      </w:r>
      <w:r>
        <w:rPr>
          <w:rFonts w:asciiTheme="minorHAnsi" w:hAnsiTheme="minorHAnsi"/>
        </w:rPr>
        <w:t>₁</w:t>
      </w:r>
      <w:r w:rsidRPr="00F20795">
        <w:rPr>
          <w:rFonts w:asciiTheme="minorHAnsi" w:hAnsiTheme="minorHAnsi"/>
        </w:rPr>
        <w:t xml:space="preserve"> + 0.5*[(P</w:t>
      </w:r>
      <w:r>
        <w:rPr>
          <w:rFonts w:asciiTheme="minorHAnsi" w:hAnsiTheme="minorHAnsi"/>
        </w:rPr>
        <w:t>₁</w:t>
      </w:r>
      <w:r w:rsidRPr="00F20795">
        <w:rPr>
          <w:rFonts w:asciiTheme="minorHAnsi" w:hAnsiTheme="minorHAnsi"/>
        </w:rPr>
        <w:t>-P</w:t>
      </w:r>
      <w:r>
        <w:rPr>
          <w:rFonts w:asciiTheme="minorHAnsi" w:hAnsiTheme="minorHAnsi"/>
        </w:rPr>
        <w:t>₀</w:t>
      </w:r>
      <w:r w:rsidRPr="00F20795">
        <w:rPr>
          <w:rFonts w:asciiTheme="minorHAnsi" w:hAnsiTheme="minorHAnsi"/>
        </w:rPr>
        <w:t>)*(Q</w:t>
      </w:r>
      <w:r>
        <w:rPr>
          <w:rFonts w:asciiTheme="minorHAnsi" w:hAnsiTheme="minorHAnsi"/>
        </w:rPr>
        <w:t>₀</w:t>
      </w:r>
      <w:r w:rsidRPr="00F20795">
        <w:rPr>
          <w:rFonts w:asciiTheme="minorHAnsi" w:hAnsiTheme="minorHAnsi"/>
        </w:rPr>
        <w:t>-Q</w:t>
      </w:r>
      <w:r>
        <w:rPr>
          <w:rFonts w:asciiTheme="minorHAnsi" w:hAnsiTheme="minorHAnsi"/>
        </w:rPr>
        <w:t>₁</w:t>
      </w:r>
      <w:r w:rsidRPr="00F20795">
        <w:rPr>
          <w:rFonts w:asciiTheme="minorHAnsi" w:hAnsiTheme="minorHAnsi"/>
        </w:rPr>
        <w:t>)], which is equal to A + B in the graph. Area A is the benefit consumers achieve by having access to an alternative mode of travel that costs less than the mode they would use in the absence of transit. Area B represents consumer surplus resulting from new trips that are made that would have been foregone in the absence of transit.</w:t>
      </w:r>
    </w:p>
    <w:p w14:paraId="6130F444" w14:textId="77777777" w:rsidR="007E328A" w:rsidRPr="00854619" w:rsidRDefault="007E328A" w:rsidP="00F20795">
      <w:pPr>
        <w:jc w:val="both"/>
        <w:rPr>
          <w:rFonts w:asciiTheme="minorHAnsi" w:hAnsiTheme="minorHAnsi"/>
        </w:rPr>
      </w:pPr>
    </w:p>
    <w:p w14:paraId="6130F445" w14:textId="77777777" w:rsidR="007E328A" w:rsidRDefault="007E328A" w:rsidP="00F20795">
      <w:pPr>
        <w:jc w:val="both"/>
        <w:rPr>
          <w:rFonts w:asciiTheme="minorHAnsi" w:hAnsiTheme="minorHAnsi"/>
        </w:rPr>
      </w:pPr>
    </w:p>
    <w:p w14:paraId="6130F446" w14:textId="77777777" w:rsidR="0074536F" w:rsidRDefault="0074536F" w:rsidP="004B582D">
      <w:pPr>
        <w:rPr>
          <w:sz w:val="22"/>
          <w:szCs w:val="22"/>
        </w:rPr>
      </w:pPr>
    </w:p>
    <w:tbl>
      <w:tblPr>
        <w:tblW w:w="0" w:type="auto"/>
        <w:jc w:val="center"/>
        <w:tblLook w:val="04A0" w:firstRow="1" w:lastRow="0" w:firstColumn="1" w:lastColumn="0" w:noHBand="0" w:noVBand="1"/>
      </w:tblPr>
      <w:tblGrid>
        <w:gridCol w:w="2402"/>
        <w:gridCol w:w="3156"/>
        <w:gridCol w:w="1564"/>
      </w:tblGrid>
      <w:tr w:rsidR="0074536F" w:rsidRPr="0074536F" w14:paraId="6130F448" w14:textId="77777777" w:rsidTr="00C568F2">
        <w:trPr>
          <w:trHeight w:val="484"/>
          <w:jc w:val="center"/>
        </w:trPr>
        <w:tc>
          <w:tcPr>
            <w:tcW w:w="0" w:type="auto"/>
            <w:gridSpan w:val="3"/>
            <w:noWrap/>
            <w:hideMark/>
          </w:tcPr>
          <w:p w14:paraId="6130F447" w14:textId="77777777" w:rsidR="0074536F" w:rsidRPr="00F20795" w:rsidRDefault="0074536F">
            <w:pPr>
              <w:rPr>
                <w:rFonts w:asciiTheme="minorHAnsi" w:hAnsiTheme="minorHAnsi"/>
                <w:b/>
                <w:bCs/>
                <w:sz w:val="22"/>
                <w:szCs w:val="22"/>
              </w:rPr>
            </w:pPr>
            <w:r w:rsidRPr="00F20795">
              <w:rPr>
                <w:rFonts w:asciiTheme="minorHAnsi" w:hAnsiTheme="minorHAnsi"/>
                <w:b/>
                <w:bCs/>
                <w:sz w:val="22"/>
                <w:szCs w:val="22"/>
              </w:rPr>
              <w:t>Foregone Other Trips</w:t>
            </w:r>
          </w:p>
        </w:tc>
      </w:tr>
      <w:tr w:rsidR="0074536F" w:rsidRPr="0074536F" w14:paraId="6130F44C" w14:textId="77777777" w:rsidTr="00C568F2">
        <w:trPr>
          <w:trHeight w:val="300"/>
          <w:jc w:val="center"/>
        </w:trPr>
        <w:tc>
          <w:tcPr>
            <w:tcW w:w="0" w:type="auto"/>
            <w:noWrap/>
            <w:hideMark/>
          </w:tcPr>
          <w:p w14:paraId="6130F449" w14:textId="77777777" w:rsidR="0074536F" w:rsidRPr="00F20795" w:rsidRDefault="0074536F">
            <w:pPr>
              <w:rPr>
                <w:rFonts w:asciiTheme="minorHAnsi" w:hAnsiTheme="minorHAnsi"/>
                <w:sz w:val="22"/>
                <w:szCs w:val="22"/>
              </w:rPr>
            </w:pPr>
            <w:r w:rsidRPr="00F20795">
              <w:rPr>
                <w:rFonts w:asciiTheme="minorHAnsi" w:hAnsiTheme="minorHAnsi"/>
                <w:sz w:val="22"/>
                <w:szCs w:val="22"/>
              </w:rPr>
              <w:t> </w:t>
            </w:r>
          </w:p>
        </w:tc>
        <w:tc>
          <w:tcPr>
            <w:tcW w:w="0" w:type="auto"/>
            <w:noWrap/>
            <w:hideMark/>
          </w:tcPr>
          <w:p w14:paraId="6130F44A" w14:textId="77777777" w:rsidR="0074536F" w:rsidRPr="00F20795" w:rsidRDefault="0074536F">
            <w:pPr>
              <w:rPr>
                <w:rFonts w:asciiTheme="minorHAnsi" w:hAnsiTheme="minorHAnsi"/>
                <w:sz w:val="22"/>
                <w:szCs w:val="22"/>
              </w:rPr>
            </w:pPr>
            <w:r w:rsidRPr="00F20795">
              <w:rPr>
                <w:rFonts w:asciiTheme="minorHAnsi" w:hAnsiTheme="minorHAnsi"/>
                <w:sz w:val="22"/>
                <w:szCs w:val="22"/>
              </w:rPr>
              <w:t>(P</w:t>
            </w:r>
            <w:r w:rsidRPr="00F20795">
              <w:rPr>
                <w:rFonts w:asciiTheme="minorHAnsi" w:hAnsiTheme="minorHAnsi" w:cs="Cambria Math"/>
                <w:sz w:val="22"/>
                <w:szCs w:val="22"/>
              </w:rPr>
              <w:t>₁</w:t>
            </w:r>
            <w:r w:rsidRPr="00F20795">
              <w:rPr>
                <w:rFonts w:asciiTheme="minorHAnsi" w:hAnsiTheme="minorHAnsi"/>
                <w:sz w:val="22"/>
                <w:szCs w:val="22"/>
              </w:rPr>
              <w:t>-P</w:t>
            </w:r>
            <w:r w:rsidRPr="00F20795">
              <w:rPr>
                <w:rFonts w:asciiTheme="minorHAnsi" w:hAnsiTheme="minorHAnsi" w:cs="Cambria Math"/>
                <w:sz w:val="22"/>
                <w:szCs w:val="22"/>
              </w:rPr>
              <w:t>₀</w:t>
            </w:r>
            <w:r w:rsidRPr="00F20795">
              <w:rPr>
                <w:rFonts w:asciiTheme="minorHAnsi" w:hAnsiTheme="minorHAnsi"/>
                <w:sz w:val="22"/>
                <w:szCs w:val="22"/>
              </w:rPr>
              <w:t>)*Q</w:t>
            </w:r>
            <w:r w:rsidRPr="00F20795">
              <w:rPr>
                <w:rFonts w:asciiTheme="minorHAnsi" w:hAnsiTheme="minorHAnsi" w:cs="Cambria Math"/>
                <w:sz w:val="22"/>
                <w:szCs w:val="22"/>
              </w:rPr>
              <w:t>₁</w:t>
            </w:r>
            <w:r w:rsidRPr="00F20795">
              <w:rPr>
                <w:rFonts w:asciiTheme="minorHAnsi" w:hAnsiTheme="minorHAnsi"/>
                <w:sz w:val="22"/>
                <w:szCs w:val="22"/>
              </w:rPr>
              <w:t>+ 0.5((P</w:t>
            </w:r>
            <w:r w:rsidRPr="00F20795">
              <w:rPr>
                <w:rFonts w:asciiTheme="minorHAnsi" w:hAnsiTheme="minorHAnsi" w:cs="Cambria Math"/>
                <w:sz w:val="22"/>
                <w:szCs w:val="22"/>
              </w:rPr>
              <w:t>₁</w:t>
            </w:r>
            <w:r w:rsidRPr="00F20795">
              <w:rPr>
                <w:rFonts w:asciiTheme="minorHAnsi" w:hAnsiTheme="minorHAnsi"/>
                <w:sz w:val="22"/>
                <w:szCs w:val="22"/>
              </w:rPr>
              <w:t>-P</w:t>
            </w:r>
            <w:r w:rsidRPr="00F20795">
              <w:rPr>
                <w:rFonts w:asciiTheme="minorHAnsi" w:hAnsiTheme="minorHAnsi" w:cs="Cambria Math"/>
                <w:sz w:val="22"/>
                <w:szCs w:val="22"/>
              </w:rPr>
              <w:t>₀</w:t>
            </w:r>
            <w:r w:rsidRPr="00F20795">
              <w:rPr>
                <w:rFonts w:asciiTheme="minorHAnsi" w:hAnsiTheme="minorHAnsi"/>
                <w:sz w:val="22"/>
                <w:szCs w:val="22"/>
              </w:rPr>
              <w:t>)*(Q</w:t>
            </w:r>
            <w:r w:rsidRPr="00F20795">
              <w:rPr>
                <w:rFonts w:asciiTheme="minorHAnsi" w:hAnsiTheme="minorHAnsi" w:cs="Cambria Math"/>
                <w:sz w:val="22"/>
                <w:szCs w:val="22"/>
              </w:rPr>
              <w:t>₀</w:t>
            </w:r>
            <w:r w:rsidRPr="00F20795">
              <w:rPr>
                <w:rFonts w:asciiTheme="minorHAnsi" w:hAnsiTheme="minorHAnsi"/>
                <w:sz w:val="22"/>
                <w:szCs w:val="22"/>
              </w:rPr>
              <w:t>-Q</w:t>
            </w:r>
            <w:r w:rsidRPr="00F20795">
              <w:rPr>
                <w:rFonts w:asciiTheme="minorHAnsi" w:hAnsiTheme="minorHAnsi" w:cs="Cambria Math"/>
                <w:sz w:val="22"/>
                <w:szCs w:val="22"/>
              </w:rPr>
              <w:t>₁</w:t>
            </w:r>
            <w:r w:rsidRPr="00F20795">
              <w:rPr>
                <w:rFonts w:asciiTheme="minorHAnsi" w:hAnsiTheme="minorHAnsi"/>
                <w:sz w:val="22"/>
                <w:szCs w:val="22"/>
              </w:rPr>
              <w:t>))</w:t>
            </w:r>
          </w:p>
        </w:tc>
        <w:tc>
          <w:tcPr>
            <w:tcW w:w="0" w:type="auto"/>
            <w:noWrap/>
            <w:hideMark/>
          </w:tcPr>
          <w:p w14:paraId="6130F44B" w14:textId="77777777" w:rsidR="0074536F" w:rsidRPr="00F20795" w:rsidRDefault="0074536F" w:rsidP="003D303D">
            <w:pPr>
              <w:jc w:val="right"/>
              <w:rPr>
                <w:rFonts w:asciiTheme="minorHAnsi" w:hAnsiTheme="minorHAnsi"/>
                <w:sz w:val="22"/>
                <w:szCs w:val="22"/>
              </w:rPr>
            </w:pPr>
            <w:r w:rsidRPr="00F20795">
              <w:rPr>
                <w:rFonts w:asciiTheme="minorHAnsi" w:hAnsiTheme="minorHAnsi"/>
                <w:sz w:val="22"/>
                <w:szCs w:val="22"/>
              </w:rPr>
              <w:t>0.5*(P</w:t>
            </w:r>
            <w:r w:rsidRPr="00F20795">
              <w:rPr>
                <w:rFonts w:asciiTheme="minorHAnsi" w:hAnsiTheme="minorHAnsi" w:cs="Cambria Math"/>
                <w:sz w:val="22"/>
                <w:szCs w:val="22"/>
              </w:rPr>
              <w:t>₁</w:t>
            </w:r>
            <w:r w:rsidRPr="00F20795">
              <w:rPr>
                <w:rFonts w:asciiTheme="minorHAnsi" w:hAnsiTheme="minorHAnsi"/>
                <w:sz w:val="22"/>
                <w:szCs w:val="22"/>
              </w:rPr>
              <w:t>-P</w:t>
            </w:r>
            <w:r w:rsidRPr="00F20795">
              <w:rPr>
                <w:rFonts w:asciiTheme="minorHAnsi" w:hAnsiTheme="minorHAnsi" w:cs="Cambria Math"/>
                <w:sz w:val="22"/>
                <w:szCs w:val="22"/>
              </w:rPr>
              <w:t>₀</w:t>
            </w:r>
            <w:r w:rsidRPr="00F20795">
              <w:rPr>
                <w:rFonts w:asciiTheme="minorHAnsi" w:hAnsiTheme="minorHAnsi"/>
                <w:sz w:val="22"/>
                <w:szCs w:val="22"/>
              </w:rPr>
              <w:t>)</w:t>
            </w:r>
          </w:p>
        </w:tc>
      </w:tr>
      <w:tr w:rsidR="0074536F" w:rsidRPr="0074536F" w14:paraId="6130F450" w14:textId="77777777" w:rsidTr="00C568F2">
        <w:trPr>
          <w:trHeight w:val="300"/>
          <w:jc w:val="center"/>
        </w:trPr>
        <w:tc>
          <w:tcPr>
            <w:tcW w:w="0" w:type="auto"/>
            <w:noWrap/>
            <w:hideMark/>
          </w:tcPr>
          <w:p w14:paraId="6130F44D" w14:textId="77777777" w:rsidR="0074536F" w:rsidRPr="00F20795" w:rsidRDefault="0074536F">
            <w:pPr>
              <w:rPr>
                <w:rFonts w:asciiTheme="minorHAnsi" w:hAnsiTheme="minorHAnsi"/>
                <w:sz w:val="22"/>
                <w:szCs w:val="22"/>
              </w:rPr>
            </w:pPr>
            <w:r w:rsidRPr="00F20795">
              <w:rPr>
                <w:rFonts w:asciiTheme="minorHAnsi" w:hAnsiTheme="minorHAnsi"/>
                <w:sz w:val="22"/>
                <w:szCs w:val="22"/>
              </w:rPr>
              <w:t> </w:t>
            </w:r>
          </w:p>
        </w:tc>
        <w:tc>
          <w:tcPr>
            <w:tcW w:w="0" w:type="auto"/>
            <w:noWrap/>
            <w:hideMark/>
          </w:tcPr>
          <w:p w14:paraId="6130F44E" w14:textId="77777777" w:rsidR="0074536F" w:rsidRPr="00F20795" w:rsidRDefault="0074536F">
            <w:pPr>
              <w:rPr>
                <w:rFonts w:asciiTheme="minorHAnsi" w:hAnsiTheme="minorHAnsi"/>
                <w:sz w:val="22"/>
                <w:szCs w:val="22"/>
              </w:rPr>
            </w:pPr>
          </w:p>
        </w:tc>
        <w:tc>
          <w:tcPr>
            <w:tcW w:w="0" w:type="auto"/>
            <w:noWrap/>
            <w:hideMark/>
          </w:tcPr>
          <w:p w14:paraId="6130F44F" w14:textId="77777777" w:rsidR="0074536F" w:rsidRPr="00F20795" w:rsidRDefault="0074536F">
            <w:pPr>
              <w:rPr>
                <w:rFonts w:asciiTheme="minorHAnsi" w:hAnsiTheme="minorHAnsi"/>
                <w:sz w:val="22"/>
                <w:szCs w:val="22"/>
              </w:rPr>
            </w:pPr>
          </w:p>
        </w:tc>
      </w:tr>
      <w:tr w:rsidR="0074536F" w:rsidRPr="0074536F" w14:paraId="6130F454" w14:textId="77777777" w:rsidTr="00C568F2">
        <w:trPr>
          <w:trHeight w:val="300"/>
          <w:jc w:val="center"/>
        </w:trPr>
        <w:tc>
          <w:tcPr>
            <w:tcW w:w="0" w:type="auto"/>
            <w:noWrap/>
            <w:hideMark/>
          </w:tcPr>
          <w:p w14:paraId="6130F451" w14:textId="77777777" w:rsidR="0074536F" w:rsidRPr="00F20795" w:rsidRDefault="0074536F">
            <w:pPr>
              <w:rPr>
                <w:rFonts w:asciiTheme="minorHAnsi" w:hAnsiTheme="minorHAnsi"/>
                <w:sz w:val="22"/>
                <w:szCs w:val="22"/>
              </w:rPr>
            </w:pPr>
            <w:r w:rsidRPr="00F20795">
              <w:rPr>
                <w:rFonts w:asciiTheme="minorHAnsi" w:hAnsiTheme="minorHAnsi"/>
                <w:sz w:val="22"/>
                <w:szCs w:val="22"/>
              </w:rPr>
              <w:t> </w:t>
            </w:r>
          </w:p>
        </w:tc>
        <w:tc>
          <w:tcPr>
            <w:tcW w:w="0" w:type="auto"/>
            <w:noWrap/>
            <w:hideMark/>
          </w:tcPr>
          <w:p w14:paraId="6130F452" w14:textId="77777777" w:rsidR="0074536F" w:rsidRPr="00F20795" w:rsidRDefault="0074536F" w:rsidP="003D303D">
            <w:pPr>
              <w:jc w:val="center"/>
              <w:rPr>
                <w:rFonts w:asciiTheme="minorHAnsi" w:hAnsiTheme="minorHAnsi"/>
                <w:sz w:val="22"/>
                <w:szCs w:val="22"/>
                <w:u w:val="single"/>
              </w:rPr>
            </w:pPr>
            <w:r w:rsidRPr="00F20795">
              <w:rPr>
                <w:rFonts w:asciiTheme="minorHAnsi" w:hAnsiTheme="minorHAnsi"/>
                <w:sz w:val="22"/>
                <w:szCs w:val="22"/>
                <w:u w:val="single"/>
              </w:rPr>
              <w:t>Increase in Consumer Surplus</w:t>
            </w:r>
          </w:p>
        </w:tc>
        <w:tc>
          <w:tcPr>
            <w:tcW w:w="0" w:type="auto"/>
            <w:noWrap/>
            <w:hideMark/>
          </w:tcPr>
          <w:p w14:paraId="6130F453" w14:textId="77777777" w:rsidR="0074536F" w:rsidRPr="00F20795" w:rsidRDefault="0074536F" w:rsidP="003D303D">
            <w:pPr>
              <w:jc w:val="center"/>
              <w:rPr>
                <w:rFonts w:asciiTheme="minorHAnsi" w:hAnsiTheme="minorHAnsi"/>
                <w:sz w:val="22"/>
                <w:szCs w:val="22"/>
                <w:u w:val="single"/>
              </w:rPr>
            </w:pPr>
            <w:r w:rsidRPr="00F20795">
              <w:rPr>
                <w:rFonts w:asciiTheme="minorHAnsi" w:hAnsiTheme="minorHAnsi"/>
                <w:sz w:val="22"/>
                <w:szCs w:val="22"/>
                <w:u w:val="single"/>
              </w:rPr>
              <w:t>Per Trip</w:t>
            </w:r>
          </w:p>
        </w:tc>
      </w:tr>
      <w:tr w:rsidR="0074536F" w:rsidRPr="0074536F" w14:paraId="6130F458" w14:textId="77777777" w:rsidTr="00C568F2">
        <w:trPr>
          <w:trHeight w:val="300"/>
          <w:jc w:val="center"/>
        </w:trPr>
        <w:tc>
          <w:tcPr>
            <w:tcW w:w="0" w:type="auto"/>
            <w:noWrap/>
            <w:hideMark/>
          </w:tcPr>
          <w:p w14:paraId="6130F455" w14:textId="77777777" w:rsidR="0074536F" w:rsidRPr="00F20795" w:rsidRDefault="0074536F">
            <w:pPr>
              <w:rPr>
                <w:rFonts w:asciiTheme="minorHAnsi" w:hAnsiTheme="minorHAnsi"/>
                <w:sz w:val="22"/>
                <w:szCs w:val="22"/>
              </w:rPr>
            </w:pPr>
            <w:r w:rsidRPr="00F20795">
              <w:rPr>
                <w:rFonts w:asciiTheme="minorHAnsi" w:hAnsiTheme="minorHAnsi"/>
                <w:sz w:val="22"/>
                <w:szCs w:val="22"/>
              </w:rPr>
              <w:t>vs. Driving a Car</w:t>
            </w:r>
          </w:p>
        </w:tc>
        <w:tc>
          <w:tcPr>
            <w:tcW w:w="0" w:type="auto"/>
            <w:noWrap/>
            <w:hideMark/>
          </w:tcPr>
          <w:p w14:paraId="6130F456"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w:t>
            </w:r>
            <w:r w:rsidRPr="00F20795">
              <w:rPr>
                <w:rFonts w:asciiTheme="minorHAnsi" w:hAnsiTheme="minorHAnsi"/>
                <w:sz w:val="22"/>
                <w:szCs w:val="22"/>
              </w:rPr>
              <w:tab/>
            </w:r>
            <w:r w:rsidRPr="00F20795">
              <w:rPr>
                <w:rFonts w:asciiTheme="minorHAnsi" w:hAnsiTheme="minorHAnsi"/>
                <w:sz w:val="22"/>
                <w:szCs w:val="22"/>
              </w:rPr>
              <w:tab/>
            </w:r>
            <w:r w:rsidRPr="00F20795">
              <w:rPr>
                <w:rFonts w:asciiTheme="minorHAnsi" w:hAnsiTheme="minorHAnsi"/>
                <w:sz w:val="22"/>
                <w:szCs w:val="22"/>
              </w:rPr>
              <w:tab/>
              <w:t xml:space="preserve">7,069.90 </w:t>
            </w:r>
          </w:p>
        </w:tc>
        <w:tc>
          <w:tcPr>
            <w:tcW w:w="0" w:type="auto"/>
            <w:noWrap/>
            <w:hideMark/>
          </w:tcPr>
          <w:p w14:paraId="6130F457"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0.48 </w:t>
            </w:r>
          </w:p>
        </w:tc>
      </w:tr>
      <w:tr w:rsidR="0074536F" w:rsidRPr="0074536F" w14:paraId="6130F45C" w14:textId="77777777" w:rsidTr="00C568F2">
        <w:trPr>
          <w:trHeight w:val="300"/>
          <w:jc w:val="center"/>
        </w:trPr>
        <w:tc>
          <w:tcPr>
            <w:tcW w:w="0" w:type="auto"/>
            <w:noWrap/>
            <w:hideMark/>
          </w:tcPr>
          <w:p w14:paraId="6130F459" w14:textId="77777777" w:rsidR="0074536F" w:rsidRPr="00F20795" w:rsidRDefault="0074536F">
            <w:pPr>
              <w:rPr>
                <w:rFonts w:asciiTheme="minorHAnsi" w:hAnsiTheme="minorHAnsi"/>
                <w:sz w:val="22"/>
                <w:szCs w:val="22"/>
              </w:rPr>
            </w:pPr>
            <w:r w:rsidRPr="00F20795">
              <w:rPr>
                <w:rFonts w:asciiTheme="minorHAnsi" w:hAnsiTheme="minorHAnsi"/>
                <w:sz w:val="22"/>
                <w:szCs w:val="22"/>
              </w:rPr>
              <w:t>vs. Riding with Someone</w:t>
            </w:r>
          </w:p>
        </w:tc>
        <w:tc>
          <w:tcPr>
            <w:tcW w:w="0" w:type="auto"/>
            <w:noWrap/>
            <w:hideMark/>
          </w:tcPr>
          <w:p w14:paraId="6130F45A"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w:t>
            </w:r>
            <w:r w:rsidRPr="00F20795">
              <w:rPr>
                <w:rFonts w:asciiTheme="minorHAnsi" w:hAnsiTheme="minorHAnsi"/>
                <w:sz w:val="22"/>
                <w:szCs w:val="22"/>
              </w:rPr>
              <w:tab/>
            </w:r>
            <w:r w:rsidRPr="00F20795">
              <w:rPr>
                <w:rFonts w:asciiTheme="minorHAnsi" w:hAnsiTheme="minorHAnsi"/>
                <w:sz w:val="22"/>
                <w:szCs w:val="22"/>
              </w:rPr>
              <w:tab/>
            </w:r>
            <w:r w:rsidRPr="00F20795">
              <w:rPr>
                <w:rFonts w:asciiTheme="minorHAnsi" w:hAnsiTheme="minorHAnsi"/>
                <w:sz w:val="22"/>
                <w:szCs w:val="22"/>
              </w:rPr>
              <w:tab/>
              <w:t xml:space="preserve">6,096.15 </w:t>
            </w:r>
          </w:p>
        </w:tc>
        <w:tc>
          <w:tcPr>
            <w:tcW w:w="0" w:type="auto"/>
            <w:noWrap/>
            <w:hideMark/>
          </w:tcPr>
          <w:p w14:paraId="6130F45B"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0.29 </w:t>
            </w:r>
          </w:p>
        </w:tc>
      </w:tr>
      <w:tr w:rsidR="0074536F" w:rsidRPr="0074536F" w14:paraId="6130F460" w14:textId="77777777" w:rsidTr="00C568F2">
        <w:trPr>
          <w:trHeight w:val="300"/>
          <w:jc w:val="center"/>
        </w:trPr>
        <w:tc>
          <w:tcPr>
            <w:tcW w:w="0" w:type="auto"/>
            <w:noWrap/>
            <w:hideMark/>
          </w:tcPr>
          <w:p w14:paraId="6130F45D" w14:textId="77777777" w:rsidR="0074536F" w:rsidRPr="00F20795" w:rsidRDefault="0074536F">
            <w:pPr>
              <w:rPr>
                <w:rFonts w:asciiTheme="minorHAnsi" w:hAnsiTheme="minorHAnsi"/>
                <w:sz w:val="22"/>
                <w:szCs w:val="22"/>
              </w:rPr>
            </w:pPr>
            <w:r w:rsidRPr="00F20795">
              <w:rPr>
                <w:rFonts w:asciiTheme="minorHAnsi" w:hAnsiTheme="minorHAnsi"/>
                <w:sz w:val="22"/>
                <w:szCs w:val="22"/>
              </w:rPr>
              <w:t>vs. Taxi Ride</w:t>
            </w:r>
          </w:p>
        </w:tc>
        <w:tc>
          <w:tcPr>
            <w:tcW w:w="0" w:type="auto"/>
            <w:noWrap/>
            <w:hideMark/>
          </w:tcPr>
          <w:p w14:paraId="6130F45E"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w:t>
            </w:r>
            <w:r w:rsidRPr="00F20795">
              <w:rPr>
                <w:rFonts w:asciiTheme="minorHAnsi" w:hAnsiTheme="minorHAnsi"/>
                <w:sz w:val="22"/>
                <w:szCs w:val="22"/>
              </w:rPr>
              <w:tab/>
            </w:r>
            <w:r w:rsidRPr="00F20795">
              <w:rPr>
                <w:rFonts w:asciiTheme="minorHAnsi" w:hAnsiTheme="minorHAnsi"/>
                <w:sz w:val="22"/>
                <w:szCs w:val="22"/>
              </w:rPr>
              <w:tab/>
              <w:t xml:space="preserve">          40,790.50 </w:t>
            </w:r>
          </w:p>
        </w:tc>
        <w:tc>
          <w:tcPr>
            <w:tcW w:w="0" w:type="auto"/>
            <w:noWrap/>
            <w:hideMark/>
          </w:tcPr>
          <w:p w14:paraId="6130F45F" w14:textId="77777777" w:rsidR="0074536F" w:rsidRPr="00F20795" w:rsidRDefault="0074536F" w:rsidP="0074536F">
            <w:pPr>
              <w:rPr>
                <w:rFonts w:asciiTheme="minorHAnsi" w:hAnsiTheme="minorHAnsi"/>
                <w:sz w:val="22"/>
                <w:szCs w:val="22"/>
              </w:rPr>
            </w:pPr>
            <w:r w:rsidRPr="00F20795">
              <w:rPr>
                <w:rFonts w:asciiTheme="minorHAnsi" w:hAnsiTheme="minorHAnsi"/>
                <w:sz w:val="22"/>
                <w:szCs w:val="22"/>
              </w:rPr>
              <w:t xml:space="preserve"> $                2.88 </w:t>
            </w:r>
          </w:p>
        </w:tc>
      </w:tr>
      <w:tr w:rsidR="0074536F" w:rsidRPr="0074536F" w14:paraId="6130F464" w14:textId="77777777" w:rsidTr="00C568F2">
        <w:trPr>
          <w:trHeight w:val="300"/>
          <w:jc w:val="center"/>
        </w:trPr>
        <w:tc>
          <w:tcPr>
            <w:tcW w:w="0" w:type="auto"/>
            <w:noWrap/>
            <w:hideMark/>
          </w:tcPr>
          <w:p w14:paraId="6130F461" w14:textId="77777777" w:rsidR="0074536F" w:rsidRPr="00F20795" w:rsidRDefault="0074536F">
            <w:pPr>
              <w:rPr>
                <w:rFonts w:asciiTheme="minorHAnsi" w:hAnsiTheme="minorHAnsi"/>
                <w:sz w:val="22"/>
                <w:szCs w:val="22"/>
              </w:rPr>
            </w:pPr>
            <w:r w:rsidRPr="00F20795">
              <w:rPr>
                <w:rFonts w:asciiTheme="minorHAnsi" w:hAnsiTheme="minorHAnsi"/>
                <w:sz w:val="22"/>
                <w:szCs w:val="22"/>
              </w:rPr>
              <w:t> </w:t>
            </w:r>
          </w:p>
        </w:tc>
        <w:tc>
          <w:tcPr>
            <w:tcW w:w="0" w:type="auto"/>
            <w:noWrap/>
            <w:hideMark/>
          </w:tcPr>
          <w:p w14:paraId="6130F462" w14:textId="77777777" w:rsidR="0074536F" w:rsidRPr="00F20795" w:rsidRDefault="0074536F" w:rsidP="0074536F">
            <w:pPr>
              <w:rPr>
                <w:rFonts w:asciiTheme="minorHAnsi" w:hAnsiTheme="minorHAnsi"/>
                <w:b/>
                <w:bCs/>
                <w:sz w:val="22"/>
                <w:szCs w:val="22"/>
              </w:rPr>
            </w:pPr>
            <w:r w:rsidRPr="00F20795">
              <w:rPr>
                <w:rFonts w:asciiTheme="minorHAnsi" w:hAnsiTheme="minorHAnsi"/>
                <w:b/>
                <w:bCs/>
                <w:sz w:val="22"/>
                <w:szCs w:val="22"/>
              </w:rPr>
              <w:t xml:space="preserve"> $      </w:t>
            </w:r>
            <w:r w:rsidRPr="00F20795">
              <w:rPr>
                <w:rFonts w:asciiTheme="minorHAnsi" w:hAnsiTheme="minorHAnsi"/>
                <w:b/>
                <w:bCs/>
                <w:sz w:val="22"/>
                <w:szCs w:val="22"/>
              </w:rPr>
              <w:tab/>
            </w:r>
            <w:r w:rsidRPr="00F20795">
              <w:rPr>
                <w:rFonts w:asciiTheme="minorHAnsi" w:hAnsiTheme="minorHAnsi"/>
                <w:b/>
                <w:bCs/>
                <w:sz w:val="22"/>
                <w:szCs w:val="22"/>
              </w:rPr>
              <w:tab/>
              <w:t xml:space="preserve">         53,956.55 </w:t>
            </w:r>
          </w:p>
        </w:tc>
        <w:tc>
          <w:tcPr>
            <w:tcW w:w="0" w:type="auto"/>
            <w:noWrap/>
            <w:hideMark/>
          </w:tcPr>
          <w:p w14:paraId="6130F463" w14:textId="77777777" w:rsidR="0074536F" w:rsidRPr="00F20795" w:rsidRDefault="0074536F" w:rsidP="0074536F">
            <w:pPr>
              <w:rPr>
                <w:rFonts w:asciiTheme="minorHAnsi" w:hAnsiTheme="minorHAnsi"/>
                <w:b/>
                <w:bCs/>
                <w:sz w:val="22"/>
                <w:szCs w:val="22"/>
              </w:rPr>
            </w:pPr>
            <w:r w:rsidRPr="00F20795">
              <w:rPr>
                <w:rFonts w:asciiTheme="minorHAnsi" w:hAnsiTheme="minorHAnsi"/>
                <w:b/>
                <w:bCs/>
                <w:sz w:val="22"/>
                <w:szCs w:val="22"/>
              </w:rPr>
              <w:t xml:space="preserve"> $               3.64 </w:t>
            </w:r>
          </w:p>
        </w:tc>
      </w:tr>
    </w:tbl>
    <w:p w14:paraId="6130F465" w14:textId="77777777" w:rsidR="004A1D7A" w:rsidRDefault="0074536F" w:rsidP="004B582D">
      <w:r w:rsidRPr="0074536F">
        <w:t xml:space="preserve"> </w:t>
      </w:r>
    </w:p>
    <w:p w14:paraId="6130F466" w14:textId="77777777" w:rsidR="003A4425" w:rsidRDefault="00037E65" w:rsidP="0029633E">
      <w:pPr>
        <w:jc w:val="both"/>
      </w:pPr>
      <w:r w:rsidRPr="004A1D7A">
        <w:rPr>
          <w:rFonts w:asciiTheme="minorHAnsi" w:hAnsiTheme="minorHAnsi"/>
        </w:rPr>
        <w:t>It can reasonably be assumed that for those who forego trips in the absence of transit, the cost of other modes of travel are high. Many of these individuals cannot drive, do not have access to an automobile, and do not have easy access to someone who can give them a ride</w:t>
      </w:r>
      <w:r w:rsidRPr="00854619">
        <w:rPr>
          <w:rFonts w:asciiTheme="minorHAnsi" w:hAnsiTheme="minorHAnsi"/>
        </w:rPr>
        <w:t>.</w:t>
      </w:r>
    </w:p>
    <w:p w14:paraId="6130F467" w14:textId="77777777" w:rsidR="003A4425" w:rsidRDefault="00037E65" w:rsidP="007D1E3A">
      <w:pPr>
        <w:pStyle w:val="Heading2"/>
      </w:pPr>
      <w:bookmarkStart w:id="8" w:name="_Toc477860554"/>
      <w:r>
        <w:t>Cost-Benefit</w:t>
      </w:r>
      <w:r w:rsidR="003A4425">
        <w:t xml:space="preserve"> Ratio Findings</w:t>
      </w:r>
      <w:bookmarkEnd w:id="8"/>
    </w:p>
    <w:p w14:paraId="6130F468" w14:textId="77777777" w:rsidR="003A4425" w:rsidRDefault="003A4425" w:rsidP="003A4425"/>
    <w:p w14:paraId="6130F469" w14:textId="77777777" w:rsidR="003A4425" w:rsidRPr="00F20795" w:rsidRDefault="003A4425" w:rsidP="00917FB4">
      <w:pPr>
        <w:jc w:val="both"/>
        <w:rPr>
          <w:rFonts w:asciiTheme="minorHAnsi" w:hAnsiTheme="minorHAnsi"/>
        </w:rPr>
      </w:pPr>
      <w:r w:rsidRPr="00F20795">
        <w:rPr>
          <w:rFonts w:asciiTheme="minorHAnsi" w:hAnsiTheme="minorHAnsi"/>
        </w:rPr>
        <w:t xml:space="preserve">When the Transportation Cost Savings and Low-Cost Mobility Benefits were finally calculated, the benefit to cost ratio was able to be determined. This ratio was calculated using the low and high trip counts and operating costs outlined in the Tindale Oliver report, as well as for the pilot shuttle program with and without the SGRC administrative costs. </w:t>
      </w:r>
    </w:p>
    <w:p w14:paraId="6130F46A" w14:textId="77777777" w:rsidR="003A4425" w:rsidRDefault="003A4425" w:rsidP="003A4425"/>
    <w:tbl>
      <w:tblPr>
        <w:tblW w:w="9468" w:type="dxa"/>
        <w:tblInd w:w="108" w:type="dxa"/>
        <w:tblLayout w:type="fixed"/>
        <w:tblLook w:val="04A0" w:firstRow="1" w:lastRow="0" w:firstColumn="1" w:lastColumn="0" w:noHBand="0" w:noVBand="1"/>
      </w:tblPr>
      <w:tblGrid>
        <w:gridCol w:w="2430"/>
        <w:gridCol w:w="1759"/>
        <w:gridCol w:w="1760"/>
        <w:gridCol w:w="1759"/>
        <w:gridCol w:w="1760"/>
      </w:tblGrid>
      <w:tr w:rsidR="003A4425" w:rsidRPr="00C40599" w14:paraId="6130F472" w14:textId="77777777" w:rsidTr="00F20795">
        <w:trPr>
          <w:trHeight w:val="300"/>
        </w:trPr>
        <w:tc>
          <w:tcPr>
            <w:tcW w:w="2430" w:type="dxa"/>
            <w:tcBorders>
              <w:top w:val="nil"/>
              <w:left w:val="nil"/>
              <w:bottom w:val="nil"/>
              <w:right w:val="nil"/>
            </w:tcBorders>
            <w:shd w:val="clear" w:color="auto" w:fill="auto"/>
            <w:noWrap/>
            <w:vAlign w:val="bottom"/>
            <w:hideMark/>
          </w:tcPr>
          <w:p w14:paraId="6130F46B" w14:textId="77777777" w:rsidR="003A4425" w:rsidRPr="00C40599" w:rsidRDefault="003A4425" w:rsidP="00290A95">
            <w:pPr>
              <w:rPr>
                <w:rFonts w:ascii="Calibri" w:eastAsia="Times New Roman" w:hAnsi="Calibri" w:cs="Times New Roman"/>
                <w:b/>
                <w:bCs/>
                <w:color w:val="000000"/>
                <w:sz w:val="22"/>
                <w:szCs w:val="22"/>
              </w:rPr>
            </w:pPr>
          </w:p>
        </w:tc>
        <w:tc>
          <w:tcPr>
            <w:tcW w:w="1759" w:type="dxa"/>
            <w:tcBorders>
              <w:top w:val="nil"/>
              <w:left w:val="nil"/>
              <w:bottom w:val="nil"/>
              <w:right w:val="nil"/>
            </w:tcBorders>
            <w:shd w:val="clear" w:color="auto" w:fill="auto"/>
            <w:noWrap/>
            <w:vAlign w:val="bottom"/>
            <w:hideMark/>
          </w:tcPr>
          <w:p w14:paraId="6130F46C" w14:textId="77777777" w:rsidR="003A4425" w:rsidRDefault="003A4425" w:rsidP="00290A95">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 Tindale Oliver </w:t>
            </w:r>
          </w:p>
          <w:p w14:paraId="6130F46D" w14:textId="77777777" w:rsidR="003A4425" w:rsidRPr="00C40599" w:rsidRDefault="003A4425" w:rsidP="00290A95">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Low Estimates </w:t>
            </w:r>
          </w:p>
        </w:tc>
        <w:tc>
          <w:tcPr>
            <w:tcW w:w="1760" w:type="dxa"/>
            <w:tcBorders>
              <w:top w:val="nil"/>
              <w:left w:val="nil"/>
              <w:bottom w:val="nil"/>
              <w:right w:val="nil"/>
            </w:tcBorders>
            <w:vAlign w:val="bottom"/>
          </w:tcPr>
          <w:p w14:paraId="6130F46E" w14:textId="77777777" w:rsidR="003A4425" w:rsidRDefault="003A4425" w:rsidP="00290A95">
            <w:pPr>
              <w:rPr>
                <w:rFonts w:ascii="Calibri" w:hAnsi="Calibri"/>
                <w:b/>
                <w:bCs/>
                <w:color w:val="000000"/>
                <w:sz w:val="22"/>
                <w:szCs w:val="22"/>
              </w:rPr>
            </w:pPr>
            <w:r>
              <w:rPr>
                <w:rFonts w:ascii="Calibri" w:hAnsi="Calibri"/>
                <w:b/>
                <w:bCs/>
                <w:color w:val="000000"/>
                <w:sz w:val="22"/>
                <w:szCs w:val="22"/>
              </w:rPr>
              <w:t xml:space="preserve"> Tindale Oliver </w:t>
            </w:r>
          </w:p>
          <w:p w14:paraId="6130F46F" w14:textId="77777777" w:rsidR="003A4425" w:rsidRPr="00C40599" w:rsidRDefault="003A4425" w:rsidP="00290A95">
            <w:pPr>
              <w:rPr>
                <w:rFonts w:ascii="Calibri" w:eastAsia="Times New Roman" w:hAnsi="Calibri" w:cs="Times New Roman"/>
                <w:b/>
                <w:bCs/>
                <w:color w:val="000000"/>
                <w:sz w:val="22"/>
                <w:szCs w:val="22"/>
              </w:rPr>
            </w:pPr>
            <w:r>
              <w:rPr>
                <w:rFonts w:ascii="Calibri" w:hAnsi="Calibri"/>
                <w:b/>
                <w:bCs/>
                <w:color w:val="000000"/>
                <w:sz w:val="22"/>
                <w:szCs w:val="22"/>
              </w:rPr>
              <w:t xml:space="preserve">High Estimates </w:t>
            </w:r>
          </w:p>
        </w:tc>
        <w:tc>
          <w:tcPr>
            <w:tcW w:w="1759" w:type="dxa"/>
            <w:tcBorders>
              <w:top w:val="nil"/>
              <w:left w:val="nil"/>
              <w:bottom w:val="nil"/>
              <w:right w:val="nil"/>
            </w:tcBorders>
            <w:vAlign w:val="bottom"/>
          </w:tcPr>
          <w:p w14:paraId="6130F470" w14:textId="77777777" w:rsidR="003A4425" w:rsidRDefault="003A4425" w:rsidP="00404BB6">
            <w:pPr>
              <w:rPr>
                <w:rFonts w:ascii="Calibri" w:hAnsi="Calibri"/>
                <w:b/>
                <w:bCs/>
                <w:color w:val="000000"/>
                <w:sz w:val="22"/>
                <w:szCs w:val="22"/>
              </w:rPr>
            </w:pPr>
            <w:r>
              <w:rPr>
                <w:rFonts w:ascii="Calibri" w:hAnsi="Calibri"/>
                <w:b/>
                <w:bCs/>
                <w:color w:val="000000"/>
                <w:sz w:val="22"/>
                <w:szCs w:val="22"/>
              </w:rPr>
              <w:t>Pilot Shuttle Costs</w:t>
            </w:r>
          </w:p>
        </w:tc>
        <w:tc>
          <w:tcPr>
            <w:tcW w:w="1760" w:type="dxa"/>
            <w:tcBorders>
              <w:top w:val="nil"/>
              <w:left w:val="nil"/>
              <w:bottom w:val="nil"/>
              <w:right w:val="nil"/>
            </w:tcBorders>
            <w:vAlign w:val="bottom"/>
          </w:tcPr>
          <w:p w14:paraId="6130F471" w14:textId="77777777" w:rsidR="003A4425" w:rsidRDefault="00404BB6" w:rsidP="00290A95">
            <w:pPr>
              <w:rPr>
                <w:rFonts w:ascii="Calibri" w:hAnsi="Calibri"/>
                <w:b/>
                <w:bCs/>
                <w:color w:val="000000"/>
                <w:sz w:val="22"/>
                <w:szCs w:val="22"/>
              </w:rPr>
            </w:pPr>
            <w:r>
              <w:rPr>
                <w:rFonts w:ascii="Calibri" w:hAnsi="Calibri"/>
                <w:b/>
                <w:bCs/>
                <w:color w:val="000000"/>
                <w:sz w:val="22"/>
                <w:szCs w:val="22"/>
              </w:rPr>
              <w:t xml:space="preserve">Shuttle </w:t>
            </w:r>
            <w:r w:rsidR="003A4425">
              <w:rPr>
                <w:rFonts w:ascii="Calibri" w:hAnsi="Calibri"/>
                <w:b/>
                <w:bCs/>
                <w:color w:val="000000"/>
                <w:sz w:val="22"/>
                <w:szCs w:val="22"/>
              </w:rPr>
              <w:t>w/ SGRC Admin Costs</w:t>
            </w:r>
          </w:p>
        </w:tc>
      </w:tr>
      <w:tr w:rsidR="003A4425" w:rsidRPr="00C40599" w14:paraId="6130F478" w14:textId="77777777" w:rsidTr="00F20795">
        <w:trPr>
          <w:trHeight w:val="300"/>
        </w:trPr>
        <w:tc>
          <w:tcPr>
            <w:tcW w:w="2430" w:type="dxa"/>
            <w:tcBorders>
              <w:top w:val="nil"/>
              <w:left w:val="nil"/>
              <w:bottom w:val="nil"/>
              <w:right w:val="nil"/>
            </w:tcBorders>
            <w:shd w:val="clear" w:color="auto" w:fill="auto"/>
            <w:noWrap/>
            <w:vAlign w:val="bottom"/>
            <w:hideMark/>
          </w:tcPr>
          <w:p w14:paraId="6130F473"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Gross Benefits per Trip</w:t>
            </w:r>
          </w:p>
        </w:tc>
        <w:tc>
          <w:tcPr>
            <w:tcW w:w="1759" w:type="dxa"/>
            <w:tcBorders>
              <w:top w:val="nil"/>
              <w:left w:val="nil"/>
              <w:bottom w:val="nil"/>
              <w:right w:val="nil"/>
            </w:tcBorders>
            <w:shd w:val="clear" w:color="auto" w:fill="auto"/>
            <w:noWrap/>
            <w:vAlign w:val="center"/>
            <w:hideMark/>
          </w:tcPr>
          <w:p w14:paraId="6130F474" w14:textId="77777777" w:rsidR="003A4425" w:rsidRPr="00C40599" w:rsidRDefault="003A4425" w:rsidP="009165A0">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007615CB">
              <w:rPr>
                <w:rFonts w:ascii="Calibri" w:eastAsia="Times New Roman" w:hAnsi="Calibri" w:cs="Times New Roman"/>
                <w:color w:val="000000"/>
                <w:sz w:val="22"/>
                <w:szCs w:val="22"/>
              </w:rPr>
              <w:t>27.19</w:t>
            </w:r>
          </w:p>
        </w:tc>
        <w:tc>
          <w:tcPr>
            <w:tcW w:w="1760" w:type="dxa"/>
            <w:tcBorders>
              <w:top w:val="nil"/>
              <w:left w:val="nil"/>
              <w:bottom w:val="nil"/>
              <w:right w:val="nil"/>
            </w:tcBorders>
            <w:vAlign w:val="center"/>
          </w:tcPr>
          <w:p w14:paraId="6130F475" w14:textId="77777777" w:rsidR="003A4425" w:rsidRPr="00C40599" w:rsidRDefault="003A4425">
            <w:pPr>
              <w:rPr>
                <w:rFonts w:ascii="Calibri" w:eastAsia="Times New Roman" w:hAnsi="Calibri" w:cs="Times New Roman"/>
                <w:color w:val="000000"/>
                <w:sz w:val="22"/>
                <w:szCs w:val="22"/>
              </w:rPr>
            </w:pPr>
            <w:r>
              <w:rPr>
                <w:rFonts w:ascii="Calibri" w:hAnsi="Calibri"/>
                <w:color w:val="000000"/>
                <w:sz w:val="22"/>
                <w:szCs w:val="22"/>
              </w:rPr>
              <w:t xml:space="preserve">$                 </w:t>
            </w:r>
            <w:r w:rsidR="007615CB">
              <w:rPr>
                <w:rFonts w:ascii="Calibri" w:hAnsi="Calibri"/>
                <w:color w:val="000000"/>
                <w:sz w:val="22"/>
                <w:szCs w:val="22"/>
              </w:rPr>
              <w:t>27.00</w:t>
            </w:r>
          </w:p>
        </w:tc>
        <w:tc>
          <w:tcPr>
            <w:tcW w:w="1759" w:type="dxa"/>
            <w:tcBorders>
              <w:top w:val="nil"/>
              <w:left w:val="nil"/>
              <w:bottom w:val="nil"/>
              <w:right w:val="nil"/>
            </w:tcBorders>
            <w:vAlign w:val="center"/>
          </w:tcPr>
          <w:p w14:paraId="6130F476" w14:textId="77777777" w:rsidR="003A4425" w:rsidRDefault="003A4425">
            <w:pPr>
              <w:rPr>
                <w:rFonts w:ascii="Calibri" w:hAnsi="Calibri"/>
                <w:color w:val="000000"/>
                <w:sz w:val="22"/>
                <w:szCs w:val="22"/>
              </w:rPr>
            </w:pPr>
            <w:r>
              <w:rPr>
                <w:rFonts w:ascii="Calibri" w:hAnsi="Calibri"/>
                <w:color w:val="000000"/>
                <w:sz w:val="22"/>
                <w:szCs w:val="22"/>
              </w:rPr>
              <w:t>$                  28.</w:t>
            </w:r>
            <w:r w:rsidR="007615CB">
              <w:rPr>
                <w:rFonts w:ascii="Calibri" w:hAnsi="Calibri"/>
                <w:color w:val="000000"/>
                <w:sz w:val="22"/>
                <w:szCs w:val="22"/>
              </w:rPr>
              <w:t>56</w:t>
            </w:r>
          </w:p>
        </w:tc>
        <w:tc>
          <w:tcPr>
            <w:tcW w:w="1760" w:type="dxa"/>
            <w:tcBorders>
              <w:top w:val="nil"/>
              <w:left w:val="nil"/>
              <w:bottom w:val="nil"/>
              <w:right w:val="nil"/>
            </w:tcBorders>
            <w:vAlign w:val="center"/>
          </w:tcPr>
          <w:p w14:paraId="6130F477" w14:textId="77777777" w:rsidR="003A4425" w:rsidRDefault="003A4425">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w:t>
            </w:r>
            <w:r>
              <w:rPr>
                <w:rFonts w:ascii="Calibri" w:hAnsi="Calibri"/>
                <w:color w:val="000000"/>
                <w:sz w:val="22"/>
                <w:szCs w:val="22"/>
              </w:rPr>
              <w:t>28.</w:t>
            </w:r>
            <w:r w:rsidR="007615CB">
              <w:rPr>
                <w:rFonts w:ascii="Calibri" w:hAnsi="Calibri"/>
                <w:color w:val="000000"/>
                <w:sz w:val="22"/>
                <w:szCs w:val="22"/>
              </w:rPr>
              <w:t>56</w:t>
            </w:r>
          </w:p>
        </w:tc>
      </w:tr>
      <w:tr w:rsidR="003A4425" w:rsidRPr="00C40599" w14:paraId="6130F47E" w14:textId="77777777" w:rsidTr="00F20795">
        <w:trPr>
          <w:trHeight w:val="300"/>
        </w:trPr>
        <w:tc>
          <w:tcPr>
            <w:tcW w:w="2430" w:type="dxa"/>
            <w:tcBorders>
              <w:top w:val="nil"/>
              <w:left w:val="nil"/>
              <w:bottom w:val="nil"/>
              <w:right w:val="nil"/>
            </w:tcBorders>
            <w:shd w:val="clear" w:color="auto" w:fill="auto"/>
            <w:noWrap/>
            <w:vAlign w:val="bottom"/>
            <w:hideMark/>
          </w:tcPr>
          <w:p w14:paraId="6130F479"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Operating Costs per Trip</w:t>
            </w:r>
          </w:p>
        </w:tc>
        <w:tc>
          <w:tcPr>
            <w:tcW w:w="1759" w:type="dxa"/>
            <w:tcBorders>
              <w:top w:val="nil"/>
              <w:left w:val="nil"/>
              <w:bottom w:val="single" w:sz="4" w:space="0" w:color="auto"/>
              <w:right w:val="nil"/>
            </w:tcBorders>
            <w:shd w:val="clear" w:color="auto" w:fill="auto"/>
            <w:noWrap/>
            <w:vAlign w:val="center"/>
            <w:hideMark/>
          </w:tcPr>
          <w:p w14:paraId="6130F47A" w14:textId="77777777" w:rsidR="003A4425" w:rsidRPr="00C40599" w:rsidRDefault="003A4425" w:rsidP="009165A0">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22.78</w:t>
            </w:r>
          </w:p>
        </w:tc>
        <w:tc>
          <w:tcPr>
            <w:tcW w:w="1760" w:type="dxa"/>
            <w:tcBorders>
              <w:top w:val="nil"/>
              <w:left w:val="nil"/>
              <w:bottom w:val="single" w:sz="4" w:space="0" w:color="auto"/>
              <w:right w:val="nil"/>
            </w:tcBorders>
            <w:vAlign w:val="center"/>
          </w:tcPr>
          <w:p w14:paraId="6130F47B" w14:textId="77777777" w:rsidR="003A4425" w:rsidRPr="00C40599" w:rsidRDefault="003A4425" w:rsidP="00290A95">
            <w:pPr>
              <w:rPr>
                <w:rFonts w:ascii="Calibri" w:eastAsia="Times New Roman" w:hAnsi="Calibri" w:cs="Times New Roman"/>
                <w:color w:val="000000"/>
                <w:sz w:val="22"/>
                <w:szCs w:val="22"/>
              </w:rPr>
            </w:pPr>
            <w:r>
              <w:rPr>
                <w:rFonts w:ascii="Calibri" w:hAnsi="Calibri"/>
                <w:color w:val="000000"/>
                <w:sz w:val="22"/>
                <w:szCs w:val="22"/>
              </w:rPr>
              <w:t>$                   9.17</w:t>
            </w:r>
          </w:p>
        </w:tc>
        <w:tc>
          <w:tcPr>
            <w:tcW w:w="1759" w:type="dxa"/>
            <w:tcBorders>
              <w:top w:val="nil"/>
              <w:left w:val="nil"/>
              <w:bottom w:val="single" w:sz="4" w:space="0" w:color="auto"/>
              <w:right w:val="nil"/>
            </w:tcBorders>
            <w:vAlign w:val="center"/>
          </w:tcPr>
          <w:p w14:paraId="6130F47C" w14:textId="77777777" w:rsidR="003A4425" w:rsidRDefault="003A4425" w:rsidP="009165A0">
            <w:pPr>
              <w:rPr>
                <w:rFonts w:ascii="Calibri" w:hAnsi="Calibri"/>
                <w:color w:val="000000"/>
                <w:sz w:val="22"/>
                <w:szCs w:val="22"/>
              </w:rPr>
            </w:pPr>
            <w:r>
              <w:rPr>
                <w:rFonts w:ascii="Calibri" w:hAnsi="Calibri"/>
                <w:color w:val="000000"/>
                <w:sz w:val="22"/>
                <w:szCs w:val="22"/>
              </w:rPr>
              <w:t>$                  18.26</w:t>
            </w:r>
          </w:p>
        </w:tc>
        <w:tc>
          <w:tcPr>
            <w:tcW w:w="1760" w:type="dxa"/>
            <w:tcBorders>
              <w:top w:val="nil"/>
              <w:left w:val="nil"/>
              <w:bottom w:val="single" w:sz="4" w:space="0" w:color="auto"/>
              <w:right w:val="nil"/>
            </w:tcBorders>
            <w:vAlign w:val="center"/>
          </w:tcPr>
          <w:p w14:paraId="6130F47D" w14:textId="77777777" w:rsidR="003A4425" w:rsidRDefault="003A4425">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w:t>
            </w:r>
            <w:r>
              <w:rPr>
                <w:rFonts w:ascii="Calibri" w:hAnsi="Calibri"/>
                <w:color w:val="000000"/>
                <w:sz w:val="22"/>
                <w:szCs w:val="22"/>
              </w:rPr>
              <w:t>26.55</w:t>
            </w:r>
          </w:p>
        </w:tc>
      </w:tr>
      <w:tr w:rsidR="003A4425" w:rsidRPr="00C40599" w14:paraId="6130F484" w14:textId="77777777" w:rsidTr="00F20795">
        <w:trPr>
          <w:trHeight w:val="300"/>
        </w:trPr>
        <w:tc>
          <w:tcPr>
            <w:tcW w:w="2430" w:type="dxa"/>
            <w:tcBorders>
              <w:top w:val="nil"/>
              <w:left w:val="nil"/>
              <w:bottom w:val="nil"/>
              <w:right w:val="nil"/>
            </w:tcBorders>
            <w:shd w:val="clear" w:color="auto" w:fill="auto"/>
            <w:noWrap/>
            <w:vAlign w:val="bottom"/>
            <w:hideMark/>
          </w:tcPr>
          <w:p w14:paraId="6130F47F"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Net Benefits per Trip</w:t>
            </w:r>
          </w:p>
        </w:tc>
        <w:tc>
          <w:tcPr>
            <w:tcW w:w="1759" w:type="dxa"/>
            <w:tcBorders>
              <w:top w:val="nil"/>
              <w:left w:val="nil"/>
              <w:bottom w:val="nil"/>
              <w:right w:val="nil"/>
            </w:tcBorders>
            <w:shd w:val="clear" w:color="auto" w:fill="auto"/>
            <w:noWrap/>
            <w:vAlign w:val="center"/>
            <w:hideMark/>
          </w:tcPr>
          <w:p w14:paraId="6130F480" w14:textId="77777777" w:rsidR="003A4425" w:rsidRPr="00C40599" w:rsidRDefault="003A4425" w:rsidP="009165A0">
            <w:pPr>
              <w:rPr>
                <w:rFonts w:ascii="Calibri" w:eastAsia="Times New Roman" w:hAnsi="Calibri" w:cs="Times New Roman"/>
                <w:b/>
                <w:bCs/>
                <w:color w:val="000000"/>
                <w:sz w:val="22"/>
                <w:szCs w:val="22"/>
              </w:rPr>
            </w:pPr>
            <w:r w:rsidRPr="00C40599">
              <w:rPr>
                <w:rFonts w:ascii="Calibri" w:eastAsia="Times New Roman" w:hAnsi="Calibri" w:cs="Times New Roman"/>
                <w:b/>
                <w:bCs/>
                <w:color w:val="000000"/>
                <w:sz w:val="22"/>
                <w:szCs w:val="22"/>
              </w:rPr>
              <w:t xml:space="preserve">$     </w:t>
            </w:r>
            <w:r>
              <w:rPr>
                <w:rFonts w:ascii="Calibri" w:eastAsia="Times New Roman" w:hAnsi="Calibri" w:cs="Times New Roman"/>
                <w:b/>
                <w:bCs/>
                <w:color w:val="000000"/>
                <w:sz w:val="22"/>
                <w:szCs w:val="22"/>
              </w:rPr>
              <w:t xml:space="preserve">              </w:t>
            </w:r>
            <w:r w:rsidR="007615CB">
              <w:rPr>
                <w:rFonts w:ascii="Calibri" w:eastAsia="Times New Roman" w:hAnsi="Calibri" w:cs="Times New Roman"/>
                <w:b/>
                <w:bCs/>
                <w:color w:val="000000"/>
                <w:sz w:val="22"/>
                <w:szCs w:val="22"/>
              </w:rPr>
              <w:t xml:space="preserve"> </w:t>
            </w:r>
            <w:r w:rsidRPr="00C40599">
              <w:rPr>
                <w:rFonts w:ascii="Calibri" w:eastAsia="Times New Roman" w:hAnsi="Calibri" w:cs="Times New Roman"/>
                <w:b/>
                <w:bCs/>
                <w:color w:val="000000"/>
                <w:sz w:val="22"/>
                <w:szCs w:val="22"/>
              </w:rPr>
              <w:t>4.</w:t>
            </w:r>
            <w:r w:rsidR="007615CB">
              <w:rPr>
                <w:rFonts w:ascii="Calibri" w:eastAsia="Times New Roman" w:hAnsi="Calibri" w:cs="Times New Roman"/>
                <w:b/>
                <w:bCs/>
                <w:color w:val="000000"/>
                <w:sz w:val="22"/>
                <w:szCs w:val="22"/>
              </w:rPr>
              <w:t>41</w:t>
            </w:r>
          </w:p>
        </w:tc>
        <w:tc>
          <w:tcPr>
            <w:tcW w:w="1760" w:type="dxa"/>
            <w:tcBorders>
              <w:top w:val="nil"/>
              <w:left w:val="nil"/>
              <w:bottom w:val="nil"/>
              <w:right w:val="nil"/>
            </w:tcBorders>
            <w:vAlign w:val="center"/>
          </w:tcPr>
          <w:p w14:paraId="6130F481" w14:textId="77777777" w:rsidR="003A4425" w:rsidRPr="00C40599" w:rsidRDefault="003A4425" w:rsidP="00290A95">
            <w:pPr>
              <w:rPr>
                <w:rFonts w:ascii="Calibri" w:eastAsia="Times New Roman" w:hAnsi="Calibri" w:cs="Times New Roman"/>
                <w:b/>
                <w:bCs/>
                <w:color w:val="000000"/>
                <w:sz w:val="22"/>
                <w:szCs w:val="22"/>
              </w:rPr>
            </w:pPr>
            <w:r>
              <w:rPr>
                <w:rFonts w:ascii="Calibri" w:hAnsi="Calibri"/>
                <w:b/>
                <w:bCs/>
                <w:color w:val="000000"/>
                <w:sz w:val="22"/>
                <w:szCs w:val="22"/>
              </w:rPr>
              <w:t>$                 17.</w:t>
            </w:r>
            <w:r w:rsidR="007615CB">
              <w:rPr>
                <w:rFonts w:ascii="Calibri" w:hAnsi="Calibri"/>
                <w:b/>
                <w:bCs/>
                <w:color w:val="000000"/>
                <w:sz w:val="22"/>
                <w:szCs w:val="22"/>
              </w:rPr>
              <w:t>83</w:t>
            </w:r>
          </w:p>
        </w:tc>
        <w:tc>
          <w:tcPr>
            <w:tcW w:w="1759" w:type="dxa"/>
            <w:tcBorders>
              <w:top w:val="nil"/>
              <w:left w:val="nil"/>
              <w:bottom w:val="nil"/>
              <w:right w:val="nil"/>
            </w:tcBorders>
            <w:vAlign w:val="center"/>
          </w:tcPr>
          <w:p w14:paraId="6130F482" w14:textId="77777777" w:rsidR="003A4425" w:rsidRDefault="003A4425" w:rsidP="009165A0">
            <w:pPr>
              <w:rPr>
                <w:rFonts w:ascii="Calibri" w:hAnsi="Calibri"/>
                <w:b/>
                <w:bCs/>
                <w:color w:val="000000"/>
                <w:sz w:val="22"/>
                <w:szCs w:val="22"/>
              </w:rPr>
            </w:pPr>
            <w:r>
              <w:rPr>
                <w:rFonts w:ascii="Calibri" w:hAnsi="Calibri"/>
                <w:b/>
                <w:bCs/>
                <w:color w:val="000000"/>
                <w:sz w:val="22"/>
                <w:szCs w:val="22"/>
              </w:rPr>
              <w:t xml:space="preserve">$          </w:t>
            </w:r>
            <w:r w:rsidR="007615CB">
              <w:rPr>
                <w:rFonts w:ascii="Calibri" w:hAnsi="Calibri"/>
                <w:b/>
                <w:bCs/>
                <w:color w:val="000000"/>
                <w:sz w:val="22"/>
                <w:szCs w:val="22"/>
              </w:rPr>
              <w:t xml:space="preserve">        1</w:t>
            </w:r>
            <w:r>
              <w:rPr>
                <w:rFonts w:ascii="Calibri" w:hAnsi="Calibri"/>
                <w:b/>
                <w:bCs/>
                <w:color w:val="000000"/>
                <w:sz w:val="22"/>
                <w:szCs w:val="22"/>
              </w:rPr>
              <w:t>0.</w:t>
            </w:r>
            <w:r w:rsidR="007615CB">
              <w:rPr>
                <w:rFonts w:ascii="Calibri" w:hAnsi="Calibri"/>
                <w:b/>
                <w:bCs/>
                <w:color w:val="000000"/>
                <w:sz w:val="22"/>
                <w:szCs w:val="22"/>
              </w:rPr>
              <w:t>30</w:t>
            </w:r>
          </w:p>
        </w:tc>
        <w:tc>
          <w:tcPr>
            <w:tcW w:w="1760" w:type="dxa"/>
            <w:tcBorders>
              <w:top w:val="nil"/>
              <w:left w:val="nil"/>
              <w:bottom w:val="nil"/>
              <w:right w:val="nil"/>
            </w:tcBorders>
            <w:vAlign w:val="center"/>
          </w:tcPr>
          <w:p w14:paraId="6130F483" w14:textId="77777777" w:rsidR="003A4425" w:rsidRDefault="003A4425">
            <w:pPr>
              <w:rPr>
                <w:rFonts w:ascii="Calibri" w:hAnsi="Calibri"/>
                <w:b/>
                <w:bCs/>
                <w:color w:val="000000"/>
                <w:sz w:val="22"/>
                <w:szCs w:val="22"/>
              </w:rPr>
            </w:pPr>
            <w:r>
              <w:rPr>
                <w:rFonts w:ascii="Calibri" w:hAnsi="Calibri"/>
                <w:b/>
                <w:bCs/>
                <w:color w:val="000000"/>
                <w:sz w:val="22"/>
                <w:szCs w:val="22"/>
              </w:rPr>
              <w:t xml:space="preserve">$          </w:t>
            </w:r>
            <w:r w:rsidR="007615CB">
              <w:rPr>
                <w:rFonts w:ascii="Calibri" w:hAnsi="Calibri"/>
                <w:b/>
                <w:bCs/>
                <w:color w:val="000000"/>
                <w:sz w:val="22"/>
                <w:szCs w:val="22"/>
              </w:rPr>
              <w:t xml:space="preserve">         </w:t>
            </w:r>
            <w:r>
              <w:rPr>
                <w:rFonts w:ascii="Calibri" w:hAnsi="Calibri"/>
                <w:b/>
                <w:bCs/>
                <w:color w:val="000000"/>
                <w:sz w:val="22"/>
                <w:szCs w:val="22"/>
              </w:rPr>
              <w:t xml:space="preserve"> </w:t>
            </w:r>
            <w:r w:rsidR="007615CB">
              <w:rPr>
                <w:rFonts w:ascii="Calibri" w:hAnsi="Calibri"/>
                <w:b/>
                <w:bCs/>
                <w:color w:val="000000"/>
                <w:sz w:val="22"/>
                <w:szCs w:val="22"/>
              </w:rPr>
              <w:t>2</w:t>
            </w:r>
            <w:r>
              <w:rPr>
                <w:rFonts w:ascii="Calibri" w:hAnsi="Calibri"/>
                <w:b/>
                <w:bCs/>
                <w:color w:val="000000"/>
                <w:sz w:val="22"/>
                <w:szCs w:val="22"/>
              </w:rPr>
              <w:t>.</w:t>
            </w:r>
            <w:r w:rsidR="007615CB">
              <w:rPr>
                <w:rFonts w:ascii="Calibri" w:hAnsi="Calibri"/>
                <w:b/>
                <w:bCs/>
                <w:color w:val="000000"/>
                <w:sz w:val="22"/>
                <w:szCs w:val="22"/>
              </w:rPr>
              <w:t>01</w:t>
            </w:r>
          </w:p>
        </w:tc>
      </w:tr>
      <w:tr w:rsidR="003A4425" w:rsidRPr="00C40599" w14:paraId="6130F48A" w14:textId="77777777" w:rsidTr="00F20795">
        <w:trPr>
          <w:trHeight w:val="300"/>
        </w:trPr>
        <w:tc>
          <w:tcPr>
            <w:tcW w:w="2430" w:type="dxa"/>
            <w:tcBorders>
              <w:top w:val="nil"/>
              <w:left w:val="nil"/>
              <w:bottom w:val="nil"/>
              <w:right w:val="nil"/>
            </w:tcBorders>
            <w:shd w:val="clear" w:color="auto" w:fill="auto"/>
            <w:noWrap/>
            <w:vAlign w:val="bottom"/>
            <w:hideMark/>
          </w:tcPr>
          <w:p w14:paraId="6130F485"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Total Benefits </w:t>
            </w:r>
          </w:p>
        </w:tc>
        <w:tc>
          <w:tcPr>
            <w:tcW w:w="1759" w:type="dxa"/>
            <w:tcBorders>
              <w:top w:val="nil"/>
              <w:left w:val="nil"/>
              <w:bottom w:val="nil"/>
              <w:right w:val="nil"/>
            </w:tcBorders>
            <w:shd w:val="clear" w:color="auto" w:fill="auto"/>
            <w:noWrap/>
            <w:vAlign w:val="center"/>
            <w:hideMark/>
          </w:tcPr>
          <w:p w14:paraId="6130F486" w14:textId="77777777" w:rsidR="003A4425" w:rsidRPr="00C40599" w:rsidRDefault="003A4425" w:rsidP="00F207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007615CB">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5</w:t>
            </w:r>
            <w:r w:rsidR="007615CB">
              <w:rPr>
                <w:rFonts w:ascii="Calibri" w:eastAsia="Times New Roman" w:hAnsi="Calibri" w:cs="Times New Roman"/>
                <w:color w:val="000000"/>
                <w:sz w:val="22"/>
                <w:szCs w:val="22"/>
              </w:rPr>
              <w:t>80</w:t>
            </w:r>
            <w:r w:rsidRPr="00C40599">
              <w:rPr>
                <w:rFonts w:ascii="Calibri" w:eastAsia="Times New Roman" w:hAnsi="Calibri" w:cs="Times New Roman"/>
                <w:color w:val="000000"/>
                <w:sz w:val="22"/>
                <w:szCs w:val="22"/>
              </w:rPr>
              <w:t>,</w:t>
            </w:r>
            <w:r w:rsidR="007615CB">
              <w:rPr>
                <w:rFonts w:ascii="Calibri" w:eastAsia="Times New Roman" w:hAnsi="Calibri" w:cs="Times New Roman"/>
                <w:color w:val="000000"/>
                <w:sz w:val="22"/>
                <w:szCs w:val="22"/>
              </w:rPr>
              <w:t>606</w:t>
            </w:r>
            <w:r w:rsidRPr="00C40599">
              <w:rPr>
                <w:rFonts w:ascii="Calibri" w:eastAsia="Times New Roman" w:hAnsi="Calibri" w:cs="Times New Roman"/>
                <w:color w:val="000000"/>
                <w:sz w:val="22"/>
                <w:szCs w:val="22"/>
              </w:rPr>
              <w:t>.</w:t>
            </w:r>
            <w:r w:rsidR="007615CB">
              <w:rPr>
                <w:rFonts w:ascii="Calibri" w:eastAsia="Times New Roman" w:hAnsi="Calibri" w:cs="Times New Roman"/>
                <w:color w:val="000000"/>
                <w:sz w:val="22"/>
                <w:szCs w:val="22"/>
              </w:rPr>
              <w:t>67</w:t>
            </w:r>
          </w:p>
        </w:tc>
        <w:tc>
          <w:tcPr>
            <w:tcW w:w="1760" w:type="dxa"/>
            <w:tcBorders>
              <w:top w:val="nil"/>
              <w:left w:val="nil"/>
              <w:bottom w:val="nil"/>
              <w:right w:val="nil"/>
            </w:tcBorders>
            <w:vAlign w:val="center"/>
          </w:tcPr>
          <w:p w14:paraId="6130F487" w14:textId="77777777" w:rsidR="003A4425" w:rsidRPr="00C40599" w:rsidRDefault="003A4425" w:rsidP="00F20795">
            <w:pPr>
              <w:rPr>
                <w:rFonts w:ascii="Calibri" w:eastAsia="Times New Roman" w:hAnsi="Calibri" w:cs="Times New Roman"/>
                <w:color w:val="000000"/>
                <w:sz w:val="22"/>
                <w:szCs w:val="22"/>
              </w:rPr>
            </w:pPr>
            <w:r>
              <w:rPr>
                <w:rFonts w:ascii="Calibri" w:hAnsi="Calibri"/>
                <w:color w:val="000000"/>
                <w:sz w:val="22"/>
                <w:szCs w:val="22"/>
              </w:rPr>
              <w:t>$   1,</w:t>
            </w:r>
            <w:r w:rsidR="007615CB">
              <w:rPr>
                <w:rFonts w:ascii="Calibri" w:hAnsi="Calibri"/>
                <w:color w:val="000000"/>
                <w:sz w:val="22"/>
                <w:szCs w:val="22"/>
              </w:rPr>
              <w:t>649</w:t>
            </w:r>
            <w:r>
              <w:rPr>
                <w:rFonts w:ascii="Calibri" w:hAnsi="Calibri"/>
                <w:color w:val="000000"/>
                <w:sz w:val="22"/>
                <w:szCs w:val="22"/>
              </w:rPr>
              <w:t>,</w:t>
            </w:r>
            <w:r w:rsidR="007615CB">
              <w:rPr>
                <w:rFonts w:ascii="Calibri" w:hAnsi="Calibri"/>
                <w:color w:val="000000"/>
                <w:sz w:val="22"/>
                <w:szCs w:val="22"/>
              </w:rPr>
              <w:t>395</w:t>
            </w:r>
            <w:r>
              <w:rPr>
                <w:rFonts w:ascii="Calibri" w:hAnsi="Calibri"/>
                <w:color w:val="000000"/>
                <w:sz w:val="22"/>
                <w:szCs w:val="22"/>
              </w:rPr>
              <w:t>.</w:t>
            </w:r>
            <w:r w:rsidR="007615CB">
              <w:rPr>
                <w:rFonts w:ascii="Calibri" w:hAnsi="Calibri"/>
                <w:color w:val="000000"/>
                <w:sz w:val="22"/>
                <w:szCs w:val="22"/>
              </w:rPr>
              <w:t>08</w:t>
            </w:r>
          </w:p>
        </w:tc>
        <w:tc>
          <w:tcPr>
            <w:tcW w:w="1759" w:type="dxa"/>
            <w:tcBorders>
              <w:top w:val="nil"/>
              <w:left w:val="nil"/>
              <w:bottom w:val="nil"/>
              <w:right w:val="nil"/>
            </w:tcBorders>
            <w:vAlign w:val="center"/>
          </w:tcPr>
          <w:p w14:paraId="6130F488" w14:textId="77777777" w:rsidR="003A4425" w:rsidRDefault="003A4425" w:rsidP="009165A0">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270,515.33</w:t>
            </w:r>
          </w:p>
        </w:tc>
        <w:tc>
          <w:tcPr>
            <w:tcW w:w="1760" w:type="dxa"/>
            <w:tcBorders>
              <w:top w:val="nil"/>
              <w:left w:val="nil"/>
              <w:bottom w:val="nil"/>
              <w:right w:val="nil"/>
            </w:tcBorders>
            <w:vAlign w:val="center"/>
          </w:tcPr>
          <w:p w14:paraId="6130F489" w14:textId="77777777" w:rsidR="003A4425" w:rsidRDefault="003A4425">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270,515.33</w:t>
            </w:r>
          </w:p>
        </w:tc>
      </w:tr>
      <w:tr w:rsidR="003A4425" w:rsidRPr="00C40599" w14:paraId="6130F490" w14:textId="77777777" w:rsidTr="00F20795">
        <w:trPr>
          <w:trHeight w:val="300"/>
        </w:trPr>
        <w:tc>
          <w:tcPr>
            <w:tcW w:w="2430" w:type="dxa"/>
            <w:tcBorders>
              <w:top w:val="nil"/>
              <w:left w:val="nil"/>
              <w:bottom w:val="nil"/>
              <w:right w:val="nil"/>
            </w:tcBorders>
            <w:shd w:val="clear" w:color="auto" w:fill="auto"/>
            <w:noWrap/>
            <w:vAlign w:val="bottom"/>
            <w:hideMark/>
          </w:tcPr>
          <w:p w14:paraId="6130F48B"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Operating Costs</w:t>
            </w:r>
          </w:p>
        </w:tc>
        <w:tc>
          <w:tcPr>
            <w:tcW w:w="1759" w:type="dxa"/>
            <w:tcBorders>
              <w:top w:val="nil"/>
              <w:left w:val="nil"/>
              <w:bottom w:val="nil"/>
              <w:right w:val="nil"/>
            </w:tcBorders>
            <w:shd w:val="clear" w:color="auto" w:fill="auto"/>
            <w:noWrap/>
            <w:vAlign w:val="center"/>
            <w:hideMark/>
          </w:tcPr>
          <w:p w14:paraId="6130F48C" w14:textId="77777777" w:rsidR="003A4425" w:rsidRPr="00C40599" w:rsidRDefault="003A4425" w:rsidP="009165A0">
            <w:pPr>
              <w:jc w:val="cente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 xml:space="preserve">$      </w:t>
            </w:r>
            <w:r>
              <w:rPr>
                <w:rFonts w:ascii="Calibri" w:eastAsia="Times New Roman" w:hAnsi="Calibri" w:cs="Times New Roman"/>
                <w:color w:val="000000"/>
                <w:sz w:val="22"/>
                <w:szCs w:val="22"/>
              </w:rPr>
              <w:t xml:space="preserve">  </w:t>
            </w:r>
            <w:r w:rsidRPr="00C40599">
              <w:rPr>
                <w:rFonts w:ascii="Calibri" w:eastAsia="Times New Roman" w:hAnsi="Calibri" w:cs="Times New Roman"/>
                <w:color w:val="000000"/>
                <w:sz w:val="22"/>
                <w:szCs w:val="22"/>
              </w:rPr>
              <w:t>720,000.00</w:t>
            </w:r>
          </w:p>
        </w:tc>
        <w:tc>
          <w:tcPr>
            <w:tcW w:w="1760" w:type="dxa"/>
            <w:tcBorders>
              <w:top w:val="nil"/>
              <w:left w:val="nil"/>
              <w:bottom w:val="nil"/>
              <w:right w:val="nil"/>
            </w:tcBorders>
            <w:vAlign w:val="center"/>
          </w:tcPr>
          <w:p w14:paraId="6130F48D" w14:textId="77777777" w:rsidR="003A4425" w:rsidRPr="00C40599" w:rsidRDefault="003A4425" w:rsidP="00290A95">
            <w:pPr>
              <w:rPr>
                <w:rFonts w:ascii="Calibri" w:eastAsia="Times New Roman" w:hAnsi="Calibri" w:cs="Times New Roman"/>
                <w:color w:val="000000"/>
                <w:sz w:val="22"/>
                <w:szCs w:val="22"/>
              </w:rPr>
            </w:pPr>
            <w:r>
              <w:rPr>
                <w:rFonts w:ascii="Calibri" w:hAnsi="Calibri"/>
                <w:color w:val="000000"/>
                <w:sz w:val="22"/>
                <w:szCs w:val="22"/>
              </w:rPr>
              <w:t>$       820,000.00</w:t>
            </w:r>
          </w:p>
        </w:tc>
        <w:tc>
          <w:tcPr>
            <w:tcW w:w="1759" w:type="dxa"/>
            <w:tcBorders>
              <w:top w:val="nil"/>
              <w:left w:val="nil"/>
              <w:bottom w:val="nil"/>
              <w:right w:val="nil"/>
            </w:tcBorders>
            <w:vAlign w:val="center"/>
          </w:tcPr>
          <w:p w14:paraId="6130F48E" w14:textId="77777777" w:rsidR="003A4425" w:rsidRDefault="003A4425" w:rsidP="009165A0">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w:t>
            </w:r>
            <w:r>
              <w:rPr>
                <w:rFonts w:ascii="Calibri" w:hAnsi="Calibri"/>
                <w:color w:val="000000"/>
                <w:sz w:val="22"/>
                <w:szCs w:val="22"/>
              </w:rPr>
              <w:t>268,898.00</w:t>
            </w:r>
          </w:p>
        </w:tc>
        <w:tc>
          <w:tcPr>
            <w:tcW w:w="1760" w:type="dxa"/>
            <w:tcBorders>
              <w:top w:val="nil"/>
              <w:left w:val="nil"/>
              <w:bottom w:val="nil"/>
              <w:right w:val="nil"/>
            </w:tcBorders>
            <w:vAlign w:val="center"/>
          </w:tcPr>
          <w:p w14:paraId="6130F48F" w14:textId="77777777" w:rsidR="003A4425" w:rsidRDefault="003A4425">
            <w:pPr>
              <w:rPr>
                <w:rFonts w:ascii="Calibri" w:hAnsi="Calibri"/>
                <w:color w:val="000000"/>
                <w:sz w:val="22"/>
                <w:szCs w:val="22"/>
              </w:rPr>
            </w:pPr>
            <w:r>
              <w:rPr>
                <w:rFonts w:ascii="Calibri" w:hAnsi="Calibri"/>
                <w:color w:val="000000"/>
                <w:sz w:val="22"/>
                <w:szCs w:val="22"/>
              </w:rPr>
              <w:t xml:space="preserve">$  </w:t>
            </w:r>
            <w:r w:rsidR="007615CB">
              <w:rPr>
                <w:rFonts w:ascii="Calibri" w:hAnsi="Calibri"/>
                <w:color w:val="000000"/>
                <w:sz w:val="22"/>
                <w:szCs w:val="22"/>
              </w:rPr>
              <w:t xml:space="preserve">      </w:t>
            </w:r>
            <w:r>
              <w:rPr>
                <w:rFonts w:ascii="Calibri" w:hAnsi="Calibri"/>
                <w:color w:val="000000"/>
                <w:sz w:val="22"/>
                <w:szCs w:val="22"/>
              </w:rPr>
              <w:t>390,912.00</w:t>
            </w:r>
          </w:p>
        </w:tc>
      </w:tr>
      <w:tr w:rsidR="003A4425" w:rsidRPr="00C40599" w14:paraId="6130F496" w14:textId="77777777" w:rsidTr="00F20795">
        <w:trPr>
          <w:trHeight w:val="300"/>
        </w:trPr>
        <w:tc>
          <w:tcPr>
            <w:tcW w:w="2430" w:type="dxa"/>
            <w:tcBorders>
              <w:top w:val="nil"/>
              <w:left w:val="nil"/>
              <w:bottom w:val="nil"/>
              <w:right w:val="nil"/>
            </w:tcBorders>
            <w:shd w:val="clear" w:color="auto" w:fill="auto"/>
            <w:noWrap/>
            <w:vAlign w:val="bottom"/>
            <w:hideMark/>
          </w:tcPr>
          <w:p w14:paraId="6130F491" w14:textId="77777777" w:rsidR="003A4425" w:rsidRPr="00C40599" w:rsidRDefault="003A4425" w:rsidP="00290A95">
            <w:pPr>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Benefit to cost ratio</w:t>
            </w:r>
          </w:p>
        </w:tc>
        <w:tc>
          <w:tcPr>
            <w:tcW w:w="1759" w:type="dxa"/>
            <w:tcBorders>
              <w:top w:val="nil"/>
              <w:left w:val="nil"/>
              <w:bottom w:val="nil"/>
              <w:right w:val="nil"/>
            </w:tcBorders>
            <w:shd w:val="clear" w:color="auto" w:fill="auto"/>
            <w:noWrap/>
            <w:vAlign w:val="center"/>
            <w:hideMark/>
          </w:tcPr>
          <w:p w14:paraId="6130F492" w14:textId="77777777" w:rsidR="003A4425" w:rsidRPr="00C40599" w:rsidRDefault="003A4425" w:rsidP="009165A0">
            <w:pPr>
              <w:jc w:val="right"/>
              <w:rPr>
                <w:rFonts w:ascii="Calibri" w:eastAsia="Times New Roman" w:hAnsi="Calibri" w:cs="Times New Roman"/>
                <w:color w:val="000000"/>
                <w:sz w:val="22"/>
                <w:szCs w:val="22"/>
              </w:rPr>
            </w:pPr>
            <w:r w:rsidRPr="00C40599">
              <w:rPr>
                <w:rFonts w:ascii="Calibri" w:eastAsia="Times New Roman" w:hAnsi="Calibri" w:cs="Times New Roman"/>
                <w:color w:val="000000"/>
                <w:sz w:val="22"/>
                <w:szCs w:val="22"/>
              </w:rPr>
              <w:t>0.8</w:t>
            </w:r>
            <w:r w:rsidR="007615CB">
              <w:rPr>
                <w:rFonts w:ascii="Calibri" w:eastAsia="Times New Roman" w:hAnsi="Calibri" w:cs="Times New Roman"/>
                <w:color w:val="000000"/>
                <w:sz w:val="22"/>
                <w:szCs w:val="22"/>
              </w:rPr>
              <w:t>1</w:t>
            </w:r>
          </w:p>
        </w:tc>
        <w:tc>
          <w:tcPr>
            <w:tcW w:w="1760" w:type="dxa"/>
            <w:tcBorders>
              <w:top w:val="nil"/>
              <w:left w:val="nil"/>
              <w:bottom w:val="nil"/>
              <w:right w:val="nil"/>
            </w:tcBorders>
            <w:vAlign w:val="center"/>
          </w:tcPr>
          <w:p w14:paraId="6130F493" w14:textId="77777777" w:rsidR="003A4425" w:rsidRPr="00C40599" w:rsidRDefault="007615CB" w:rsidP="00290A95">
            <w:pPr>
              <w:jc w:val="right"/>
              <w:rPr>
                <w:rFonts w:ascii="Calibri" w:eastAsia="Times New Roman" w:hAnsi="Calibri" w:cs="Times New Roman"/>
                <w:color w:val="000000"/>
                <w:sz w:val="22"/>
                <w:szCs w:val="22"/>
              </w:rPr>
            </w:pPr>
            <w:r>
              <w:rPr>
                <w:rFonts w:ascii="Calibri" w:hAnsi="Calibri"/>
                <w:color w:val="000000"/>
                <w:sz w:val="22"/>
                <w:szCs w:val="22"/>
              </w:rPr>
              <w:t>2.01</w:t>
            </w:r>
          </w:p>
        </w:tc>
        <w:tc>
          <w:tcPr>
            <w:tcW w:w="1759" w:type="dxa"/>
            <w:tcBorders>
              <w:top w:val="nil"/>
              <w:left w:val="nil"/>
              <w:bottom w:val="nil"/>
              <w:right w:val="nil"/>
            </w:tcBorders>
            <w:vAlign w:val="center"/>
          </w:tcPr>
          <w:p w14:paraId="6130F494" w14:textId="77777777" w:rsidR="003A4425" w:rsidRDefault="007615CB" w:rsidP="009165A0">
            <w:pPr>
              <w:jc w:val="right"/>
              <w:rPr>
                <w:rFonts w:ascii="Calibri" w:hAnsi="Calibri"/>
                <w:color w:val="000000"/>
                <w:sz w:val="22"/>
                <w:szCs w:val="22"/>
              </w:rPr>
            </w:pPr>
            <w:r>
              <w:rPr>
                <w:rFonts w:ascii="Calibri" w:hAnsi="Calibri"/>
                <w:color w:val="000000"/>
                <w:sz w:val="22"/>
                <w:szCs w:val="22"/>
              </w:rPr>
              <w:t>1</w:t>
            </w:r>
            <w:r w:rsidR="003A4425">
              <w:rPr>
                <w:rFonts w:ascii="Calibri" w:hAnsi="Calibri"/>
                <w:color w:val="000000"/>
                <w:sz w:val="22"/>
                <w:szCs w:val="22"/>
              </w:rPr>
              <w:t>.</w:t>
            </w:r>
            <w:r>
              <w:rPr>
                <w:rFonts w:ascii="Calibri" w:hAnsi="Calibri"/>
                <w:color w:val="000000"/>
                <w:sz w:val="22"/>
                <w:szCs w:val="22"/>
              </w:rPr>
              <w:t>01</w:t>
            </w:r>
          </w:p>
        </w:tc>
        <w:tc>
          <w:tcPr>
            <w:tcW w:w="1760" w:type="dxa"/>
            <w:tcBorders>
              <w:top w:val="nil"/>
              <w:left w:val="nil"/>
              <w:bottom w:val="nil"/>
              <w:right w:val="nil"/>
            </w:tcBorders>
            <w:vAlign w:val="center"/>
          </w:tcPr>
          <w:p w14:paraId="6130F495" w14:textId="77777777" w:rsidR="003A4425" w:rsidRDefault="003A4425">
            <w:pPr>
              <w:jc w:val="right"/>
              <w:rPr>
                <w:rFonts w:ascii="Calibri" w:hAnsi="Calibri"/>
                <w:color w:val="000000"/>
                <w:sz w:val="22"/>
                <w:szCs w:val="22"/>
              </w:rPr>
            </w:pPr>
            <w:r>
              <w:rPr>
                <w:rFonts w:ascii="Calibri" w:hAnsi="Calibri"/>
                <w:color w:val="000000"/>
                <w:sz w:val="22"/>
                <w:szCs w:val="22"/>
              </w:rPr>
              <w:t>0.6</w:t>
            </w:r>
            <w:r w:rsidR="007615CB">
              <w:rPr>
                <w:rFonts w:ascii="Calibri" w:hAnsi="Calibri"/>
                <w:color w:val="000000"/>
                <w:sz w:val="22"/>
                <w:szCs w:val="22"/>
              </w:rPr>
              <w:t>9</w:t>
            </w:r>
          </w:p>
        </w:tc>
      </w:tr>
    </w:tbl>
    <w:p w14:paraId="6130F497" w14:textId="77777777" w:rsidR="003A4425" w:rsidRDefault="003A4425" w:rsidP="003A4425"/>
    <w:p w14:paraId="6130F498" w14:textId="77777777" w:rsidR="00471933" w:rsidRPr="00471933" w:rsidRDefault="003A4425" w:rsidP="00F20795">
      <w:pPr>
        <w:jc w:val="both"/>
        <w:rPr>
          <w:rFonts w:asciiTheme="minorHAnsi" w:hAnsiTheme="minorHAnsi"/>
        </w:rPr>
      </w:pPr>
      <w:r w:rsidRPr="00471933">
        <w:rPr>
          <w:rFonts w:asciiTheme="minorHAnsi" w:hAnsiTheme="minorHAnsi"/>
        </w:rPr>
        <w:t xml:space="preserve">The </w:t>
      </w:r>
      <w:r w:rsidR="00471933" w:rsidRPr="00471933">
        <w:rPr>
          <w:rFonts w:asciiTheme="minorHAnsi" w:hAnsiTheme="minorHAnsi"/>
        </w:rPr>
        <w:t>majority of the</w:t>
      </w:r>
      <w:r w:rsidR="00781E3D" w:rsidRPr="00471933">
        <w:rPr>
          <w:rFonts w:asciiTheme="minorHAnsi" w:hAnsiTheme="minorHAnsi"/>
        </w:rPr>
        <w:t xml:space="preserve"> benefit</w:t>
      </w:r>
      <w:r w:rsidR="00471933" w:rsidRPr="00471933">
        <w:rPr>
          <w:rFonts w:asciiTheme="minorHAnsi" w:hAnsiTheme="minorHAnsi"/>
        </w:rPr>
        <w:t>s</w:t>
      </w:r>
      <w:r w:rsidR="00781E3D" w:rsidRPr="00471933">
        <w:rPr>
          <w:rFonts w:asciiTheme="minorHAnsi" w:hAnsiTheme="minorHAnsi"/>
        </w:rPr>
        <w:t xml:space="preserve"> came from the </w:t>
      </w:r>
      <w:r w:rsidR="00471933" w:rsidRPr="00471933">
        <w:rPr>
          <w:rFonts w:asciiTheme="minorHAnsi" w:hAnsiTheme="minorHAnsi"/>
        </w:rPr>
        <w:t xml:space="preserve">low-cost mobility benefits, which accounted for 70% of the total Gross Benefits per Trip. This indicates that low-cost mobility trips are a vital part of the transit service. Medical trips were shown to have the highest single benefit at $11.81 per trip. Given the average trip distance of 3 miles, the second highest benefit came from transportation cost savings compared with taxi services, at $5.76 per trip. </w:t>
      </w:r>
    </w:p>
    <w:p w14:paraId="6130F499" w14:textId="77777777" w:rsidR="00471933" w:rsidRPr="00471933" w:rsidRDefault="00471933" w:rsidP="00F20795">
      <w:pPr>
        <w:jc w:val="both"/>
        <w:rPr>
          <w:rFonts w:asciiTheme="minorHAnsi" w:hAnsiTheme="minorHAnsi"/>
        </w:rPr>
      </w:pPr>
    </w:p>
    <w:p w14:paraId="6130F49A" w14:textId="77777777" w:rsidR="005A6475" w:rsidRDefault="005A6475">
      <w:pPr>
        <w:spacing w:after="200" w:line="276" w:lineRule="auto"/>
        <w:rPr>
          <w:rFonts w:asciiTheme="minorHAnsi" w:hAnsiTheme="minorHAnsi"/>
        </w:rPr>
      </w:pPr>
      <w:r>
        <w:rPr>
          <w:rFonts w:asciiTheme="minorHAnsi" w:hAnsiTheme="minorHAnsi"/>
        </w:rPr>
        <w:br w:type="page"/>
      </w:r>
    </w:p>
    <w:p w14:paraId="6130F49B" w14:textId="77777777" w:rsidR="00860F69" w:rsidRDefault="00471933" w:rsidP="00C2265B">
      <w:pPr>
        <w:jc w:val="both"/>
        <w:rPr>
          <w:sz w:val="22"/>
          <w:szCs w:val="22"/>
        </w:rPr>
      </w:pPr>
      <w:r w:rsidRPr="00471933">
        <w:rPr>
          <w:rFonts w:asciiTheme="minorHAnsi" w:hAnsiTheme="minorHAnsi"/>
        </w:rPr>
        <w:lastRenderedPageBreak/>
        <w:t>Small urban transit in United States is observed to have total transportation cost savings and low-cost mobility benefits totaling $3.7 billion in 2011, among which $3.4 billion (93.4%) were observed in fixed-route bus and $244 million (6.6%) were observed in demand-response service. Further, low-cost mobility benefits constitute the highest proportion of total benefits in fixed-route bus service (85%) and demand-response service (92.5%), showing again the importance of providing trips to those who otherwise would not be able to travel. The average transit benefits per trip in small urban areas is observed as $10.43, where fixed-route service has an average benefits of $10.23 per trip and demand-response service has an average benefit of $14.31 per trip.</w:t>
      </w:r>
      <w:r>
        <w:rPr>
          <w:sz w:val="22"/>
          <w:szCs w:val="22"/>
        </w:rPr>
        <w:t xml:space="preserve"> </w:t>
      </w:r>
    </w:p>
    <w:p w14:paraId="6130F49C" w14:textId="77777777" w:rsidR="00860F69" w:rsidRDefault="00860F69" w:rsidP="00C2265B">
      <w:pPr>
        <w:jc w:val="both"/>
        <w:rPr>
          <w:sz w:val="22"/>
          <w:szCs w:val="22"/>
        </w:rPr>
      </w:pPr>
    </w:p>
    <w:p w14:paraId="6130F49D" w14:textId="77777777" w:rsidR="00C2265B" w:rsidRDefault="00860F69" w:rsidP="00C2265B">
      <w:pPr>
        <w:jc w:val="both"/>
        <w:rPr>
          <w:rFonts w:asciiTheme="minorHAnsi" w:hAnsiTheme="minorHAnsi"/>
          <w:szCs w:val="22"/>
        </w:rPr>
      </w:pPr>
      <w:r w:rsidRPr="00860F69">
        <w:rPr>
          <w:rFonts w:asciiTheme="minorHAnsi" w:hAnsiTheme="minorHAnsi"/>
          <w:szCs w:val="22"/>
        </w:rPr>
        <w:t xml:space="preserve">According to the NCTR study, the state of Georgia was found to have the highest </w:t>
      </w:r>
      <w:r w:rsidR="00037E65">
        <w:rPr>
          <w:rFonts w:asciiTheme="minorHAnsi" w:hAnsiTheme="minorHAnsi"/>
          <w:szCs w:val="22"/>
        </w:rPr>
        <w:t>cost-benefit</w:t>
      </w:r>
      <w:r w:rsidRPr="00860F69">
        <w:rPr>
          <w:rFonts w:asciiTheme="minorHAnsi" w:hAnsiTheme="minorHAnsi"/>
          <w:szCs w:val="22"/>
        </w:rPr>
        <w:t xml:space="preserve"> ratio (4.96) for small urban transit in the nation</w:t>
      </w:r>
      <w:r w:rsidR="00C2265B">
        <w:rPr>
          <w:rFonts w:asciiTheme="minorHAnsi" w:hAnsiTheme="minorHAnsi"/>
          <w:szCs w:val="22"/>
        </w:rPr>
        <w:t>.</w:t>
      </w:r>
    </w:p>
    <w:p w14:paraId="6130F49E" w14:textId="77777777" w:rsidR="007D1E3A" w:rsidRDefault="00860F69" w:rsidP="00C2265B">
      <w:pPr>
        <w:jc w:val="both"/>
        <w:rPr>
          <w:rFonts w:asciiTheme="minorHAnsi" w:hAnsiTheme="minorHAnsi"/>
          <w:szCs w:val="22"/>
        </w:rPr>
        <w:sectPr w:rsidR="007D1E3A" w:rsidSect="001B18BB">
          <w:footerReference w:type="default" r:id="rId32"/>
          <w:footerReference w:type="first" r:id="rId33"/>
          <w:pgSz w:w="12240" w:h="15840"/>
          <w:pgMar w:top="1440" w:right="1440" w:bottom="1440" w:left="1440" w:header="720" w:footer="720" w:gutter="0"/>
          <w:pgNumType w:start="0"/>
          <w:cols w:space="720"/>
          <w:titlePg/>
          <w:docGrid w:linePitch="360"/>
        </w:sectPr>
      </w:pPr>
      <w:r w:rsidRPr="00860F69">
        <w:rPr>
          <w:rFonts w:asciiTheme="minorHAnsi" w:hAnsiTheme="minorHAnsi"/>
          <w:szCs w:val="22"/>
        </w:rPr>
        <w:t xml:space="preserve"> </w:t>
      </w:r>
    </w:p>
    <w:p w14:paraId="6130F49F" w14:textId="77777777" w:rsidR="00885D10" w:rsidRPr="00885D10" w:rsidRDefault="00885D10" w:rsidP="00D45CC9">
      <w:pPr>
        <w:pStyle w:val="Heading1"/>
      </w:pPr>
      <w:bookmarkStart w:id="9" w:name="_Toc477860555"/>
      <w:r w:rsidRPr="00885D10">
        <w:lastRenderedPageBreak/>
        <w:t>Part 3: Transit Funding and Implementation Options</w:t>
      </w:r>
      <w:bookmarkEnd w:id="9"/>
    </w:p>
    <w:p w14:paraId="6130F4A0" w14:textId="77777777" w:rsidR="00885D10" w:rsidRPr="00885D10" w:rsidRDefault="00885D10" w:rsidP="00885D10">
      <w:pPr>
        <w:numPr>
          <w:ilvl w:val="1"/>
          <w:numId w:val="0"/>
        </w:numPr>
        <w:jc w:val="both"/>
        <w:rPr>
          <w:rFonts w:asciiTheme="majorHAnsi" w:eastAsiaTheme="majorEastAsia" w:hAnsiTheme="majorHAnsi" w:cstheme="majorBidi"/>
          <w:i/>
          <w:iCs/>
          <w:color w:val="4F81BD" w:themeColor="accent1"/>
          <w:spacing w:val="15"/>
        </w:rPr>
      </w:pPr>
    </w:p>
    <w:p w14:paraId="6130F4A1" w14:textId="77777777" w:rsidR="00885D10" w:rsidRPr="00885D10" w:rsidRDefault="00885D10" w:rsidP="00D45CC9">
      <w:pPr>
        <w:pStyle w:val="Heading2"/>
      </w:pPr>
      <w:bookmarkStart w:id="10" w:name="_Toc477860556"/>
      <w:r w:rsidRPr="00885D10">
        <w:t>Funding a Transit System</w:t>
      </w:r>
      <w:bookmarkEnd w:id="10"/>
    </w:p>
    <w:p w14:paraId="6130F4A2" w14:textId="77777777" w:rsidR="00885D10" w:rsidRPr="00885D10" w:rsidRDefault="00885D10" w:rsidP="00885D10">
      <w:pPr>
        <w:jc w:val="both"/>
        <w:rPr>
          <w:rFonts w:asciiTheme="minorHAnsi" w:hAnsiTheme="minorHAnsi"/>
        </w:rPr>
      </w:pPr>
    </w:p>
    <w:p w14:paraId="6130F4A3" w14:textId="77777777" w:rsidR="00885D10" w:rsidRPr="00885D10" w:rsidRDefault="00885D10" w:rsidP="00885D10">
      <w:pPr>
        <w:jc w:val="both"/>
        <w:rPr>
          <w:rFonts w:asciiTheme="minorHAnsi" w:hAnsiTheme="minorHAnsi"/>
        </w:rPr>
      </w:pPr>
      <w:r w:rsidRPr="00885D10">
        <w:rPr>
          <w:rFonts w:asciiTheme="minorHAnsi" w:hAnsiTheme="minorHAnsi"/>
        </w:rPr>
        <w:t>Following the 2000 census, Valdosta was designated as a Metropolitan and urbanized area.</w:t>
      </w:r>
      <w:r w:rsidRPr="00885D10">
        <w:t xml:space="preserve"> </w:t>
      </w:r>
      <w:r w:rsidRPr="00885D10">
        <w:rPr>
          <w:rFonts w:asciiTheme="minorHAnsi" w:hAnsiTheme="minorHAnsi"/>
        </w:rPr>
        <w:t>One result of this designation is that Federal Transit Administration (FTA) Section 5307 urban transit formula grant funds have been apportioned to the state of Georgia on the basis of the Valdosta area’s population and population density ever since 2003, when the Valdosta-Lowndes Metropolitan Planning Organization (VLMPO) was created. Currently, Valdosta is one of a handful of metropolitan cities in the Unites States without an urban transit system. For many years the Lowndes County Public Transit Service has operated a FTA Section 5311 rural transit service on a demand response basis, filling the growing need for transportation in Valdosta and Lowndes County</w:t>
      </w:r>
      <w:r w:rsidRPr="00885D10">
        <w:t>.</w:t>
      </w:r>
      <w:r w:rsidRPr="00885D10">
        <w:rPr>
          <w:rFonts w:asciiTheme="minorHAnsi" w:hAnsiTheme="minorHAnsi"/>
        </w:rPr>
        <w:t xml:space="preserve"> Valdosta’s Section 5307 apportionment was $540,199 in 2003; this amount has grown steadily as federal transit authorizations have increased over time, and the area’s Section 5307 apportionment in 2016 was $1,034,298. Every year, the MPO or local governments have certified to the Georgia Department of Transportation (GDOT) that these urban transit funds were not needed locally, thus allowing GDOT to use Valdosta’s transit funds in other urbanized areas of the state. Recently, the City of Valdosta and Lowndes County sent a letter to GDOT that the FY17 5307 funds were not needed at this time, releasing the allocated amounted to be used in other urbanized areas.</w:t>
      </w:r>
    </w:p>
    <w:p w14:paraId="6130F4A4" w14:textId="77777777" w:rsidR="00885D10" w:rsidRPr="00885D10" w:rsidRDefault="00885D10" w:rsidP="00885D10">
      <w:pPr>
        <w:numPr>
          <w:ilvl w:val="1"/>
          <w:numId w:val="0"/>
        </w:numPr>
        <w:jc w:val="both"/>
        <w:rPr>
          <w:rFonts w:asciiTheme="majorHAnsi" w:eastAsiaTheme="majorEastAsia" w:hAnsiTheme="majorHAnsi" w:cstheme="majorBidi"/>
          <w:i/>
          <w:iCs/>
          <w:color w:val="4F81BD" w:themeColor="accent1"/>
          <w:spacing w:val="15"/>
        </w:rPr>
      </w:pPr>
    </w:p>
    <w:p w14:paraId="6130F4A5" w14:textId="77777777" w:rsidR="00885D10" w:rsidRPr="0029633E" w:rsidRDefault="00885D10" w:rsidP="00885D10">
      <w:pPr>
        <w:autoSpaceDE w:val="0"/>
        <w:autoSpaceDN w:val="0"/>
        <w:adjustRightInd w:val="0"/>
        <w:jc w:val="both"/>
        <w:rPr>
          <w:rFonts w:asciiTheme="minorHAnsi" w:eastAsiaTheme="minorHAnsi" w:hAnsiTheme="minorHAnsi" w:cstheme="minorHAnsi"/>
          <w:color w:val="auto"/>
        </w:rPr>
      </w:pPr>
      <w:r w:rsidRPr="0029633E">
        <w:rPr>
          <w:rFonts w:asciiTheme="minorHAnsi" w:eastAsiaTheme="minorHAnsi" w:hAnsiTheme="minorHAnsi" w:cstheme="minorHAnsi"/>
          <w:color w:val="auto"/>
        </w:rPr>
        <w:t xml:space="preserve">Recently, FTA began to take the U.S. 2010 Census figures into account and, therefore, some Urbanized Area boundaries were extended. This resulted in some Georgia counties, including Lowndes County, transitioning from the rural to urban categorization and </w:t>
      </w:r>
      <w:r w:rsidR="00C2265B" w:rsidRPr="0029633E">
        <w:rPr>
          <w:rFonts w:asciiTheme="minorHAnsi" w:eastAsiaTheme="minorHAnsi" w:hAnsiTheme="minorHAnsi" w:cstheme="minorHAnsi"/>
          <w:color w:val="auto"/>
        </w:rPr>
        <w:t xml:space="preserve">therefore </w:t>
      </w:r>
      <w:r w:rsidRPr="0029633E">
        <w:rPr>
          <w:rFonts w:asciiTheme="minorHAnsi" w:eastAsiaTheme="minorHAnsi" w:hAnsiTheme="minorHAnsi" w:cstheme="minorHAnsi"/>
          <w:color w:val="auto"/>
        </w:rPr>
        <w:t xml:space="preserve">no longer </w:t>
      </w:r>
      <w:r w:rsidR="00C2265B" w:rsidRPr="0029633E">
        <w:rPr>
          <w:rFonts w:asciiTheme="minorHAnsi" w:eastAsiaTheme="minorHAnsi" w:hAnsiTheme="minorHAnsi" w:cstheme="minorHAnsi"/>
          <w:color w:val="auto"/>
        </w:rPr>
        <w:t xml:space="preserve">being </w:t>
      </w:r>
      <w:r w:rsidRPr="0029633E">
        <w:rPr>
          <w:rFonts w:asciiTheme="minorHAnsi" w:eastAsiaTheme="minorHAnsi" w:hAnsiTheme="minorHAnsi" w:cstheme="minorHAnsi"/>
          <w:color w:val="auto"/>
        </w:rPr>
        <w:t>eligible for the full amount of operating assistance previously received through the Section 5311 program. Lowndes County operates its system mostly with funds from the Section 5311 program and service contracts with agencies such as the Department of Human Services (DHS), local senior centers, and other agencies serving the disabled and/or elderly. Lowndes County provides limited local funding for these services, typically just enough to match the Section 5311 award. Under the GDOT Section 5311 formula, Lowndes County is in danger of losing most of their funding for operating assistance.</w:t>
      </w:r>
    </w:p>
    <w:p w14:paraId="6130F4A6" w14:textId="77777777" w:rsidR="00885D10" w:rsidRPr="0029633E" w:rsidRDefault="00885D10" w:rsidP="00885D10">
      <w:pPr>
        <w:jc w:val="both"/>
        <w:rPr>
          <w:rFonts w:asciiTheme="minorHAnsi" w:hAnsiTheme="minorHAnsi" w:cstheme="minorHAnsi"/>
        </w:rPr>
      </w:pPr>
    </w:p>
    <w:p w14:paraId="6130F4A7" w14:textId="77777777" w:rsidR="00885D10" w:rsidRPr="0029633E" w:rsidRDefault="00885D10" w:rsidP="00885D10">
      <w:pPr>
        <w:autoSpaceDE w:val="0"/>
        <w:autoSpaceDN w:val="0"/>
        <w:adjustRightInd w:val="0"/>
        <w:jc w:val="both"/>
        <w:rPr>
          <w:rFonts w:asciiTheme="minorHAnsi" w:eastAsiaTheme="majorEastAsia" w:hAnsiTheme="minorHAnsi" w:cstheme="minorHAnsi"/>
          <w:i/>
          <w:iCs/>
          <w:color w:val="4F81BD" w:themeColor="accent1"/>
          <w:spacing w:val="15"/>
        </w:rPr>
      </w:pPr>
      <w:r w:rsidRPr="0029633E">
        <w:rPr>
          <w:rFonts w:asciiTheme="minorHAnsi" w:eastAsiaTheme="minorHAnsi" w:hAnsiTheme="minorHAnsi" w:cstheme="minorHAnsi"/>
          <w:color w:val="auto"/>
          <w:szCs w:val="22"/>
        </w:rPr>
        <w:t xml:space="preserve">Reducing the total award from the Section 5311 program for agencies in newly Urbanized Areas such as Lowndes County can leave a significant operating funding shortfall, especially where it makes up 40 to 50 percent of the annual operating budget. One way to make up this shortfall is by using operating assistance through the FTA Section 5307 Urbanized Area Formula Grant program. Section 5307 funds are apportioned to transit agencies annually and are typically reserved for preventative maintenance and capital expenditures; however, there is an exception for small urban area to use a portion of this award for operating assistance. The Valdosta Urbanized Area is considered a small urban area </w:t>
      </w:r>
      <w:r w:rsidR="00C2265B" w:rsidRPr="0029633E">
        <w:rPr>
          <w:rFonts w:asciiTheme="minorHAnsi" w:eastAsiaTheme="minorHAnsi" w:hAnsiTheme="minorHAnsi" w:cstheme="minorHAnsi"/>
          <w:color w:val="auto"/>
          <w:szCs w:val="22"/>
        </w:rPr>
        <w:t>because the</w:t>
      </w:r>
      <w:r w:rsidRPr="0029633E">
        <w:rPr>
          <w:rFonts w:asciiTheme="minorHAnsi" w:eastAsiaTheme="minorHAnsi" w:hAnsiTheme="minorHAnsi" w:cstheme="minorHAnsi"/>
          <w:color w:val="auto"/>
          <w:szCs w:val="22"/>
        </w:rPr>
        <w:t xml:space="preserve"> population </w:t>
      </w:r>
      <w:r w:rsidR="00C2265B" w:rsidRPr="0029633E">
        <w:rPr>
          <w:rFonts w:asciiTheme="minorHAnsi" w:eastAsiaTheme="minorHAnsi" w:hAnsiTheme="minorHAnsi" w:cstheme="minorHAnsi"/>
          <w:color w:val="auto"/>
          <w:szCs w:val="22"/>
        </w:rPr>
        <w:t xml:space="preserve">is </w:t>
      </w:r>
      <w:r w:rsidRPr="0029633E">
        <w:rPr>
          <w:rFonts w:asciiTheme="minorHAnsi" w:eastAsiaTheme="minorHAnsi" w:hAnsiTheme="minorHAnsi" w:cstheme="minorHAnsi"/>
          <w:color w:val="auto"/>
          <w:szCs w:val="22"/>
        </w:rPr>
        <w:t>below 200,000.</w:t>
      </w:r>
    </w:p>
    <w:p w14:paraId="6130F4A8" w14:textId="77777777" w:rsidR="00885D10" w:rsidRPr="00885D10" w:rsidRDefault="00885D10" w:rsidP="00D45CC9">
      <w:pPr>
        <w:pStyle w:val="Subtitle"/>
      </w:pPr>
      <w:r w:rsidRPr="00885D10">
        <w:lastRenderedPageBreak/>
        <w:t>Capital Cost of Contracting</w:t>
      </w:r>
    </w:p>
    <w:p w14:paraId="6130F4AA" w14:textId="77777777" w:rsidR="00885D10" w:rsidRPr="00885D10" w:rsidRDefault="00885D10" w:rsidP="00885D10">
      <w:pPr>
        <w:autoSpaceDE w:val="0"/>
        <w:autoSpaceDN w:val="0"/>
        <w:adjustRightInd w:val="0"/>
        <w:jc w:val="both"/>
        <w:rPr>
          <w:rFonts w:asciiTheme="minorHAnsi" w:eastAsiaTheme="minorHAnsi" w:hAnsiTheme="minorHAnsi" w:cstheme="minorHAnsi"/>
          <w:color w:val="auto"/>
        </w:rPr>
      </w:pPr>
      <w:r w:rsidRPr="00885D10">
        <w:rPr>
          <w:rFonts w:asciiTheme="minorHAnsi" w:eastAsiaTheme="minorHAnsi" w:hAnsiTheme="minorHAnsi" w:cstheme="minorHAnsi"/>
          <w:color w:val="auto"/>
        </w:rPr>
        <w:t>Some FTA recipients turn to an outside source, or third party to obtain public transportation service, maintenance service, or vehicles that the recipient will use in public transportation service. When a recipient enters a contract for such service, FTA will provide assistance for the capital consumed in the course of the contract. In the case of a contractor providing vehicles for public transportation service, the capital consumed is equivalent to the depreciation of the vehicles in use in the public transportation service during the contract period. In the case of a maintenance contract, the capital consumed may be, for example, depreciation of the maintenance garage, or depreciation of the machine that lifts the vehicle. Capital consumed may also include a proportionate share of the interest the contractor might pay out as the contractor purchases and makes available to the recipient these capital assets. FTA refers to the concept of assisting with capital consumed as the “capital cost of contracting.”</w:t>
      </w:r>
    </w:p>
    <w:p w14:paraId="6130F4AB" w14:textId="77777777" w:rsidR="00885D10" w:rsidRPr="00885D10" w:rsidRDefault="00885D10" w:rsidP="00885D10">
      <w:pPr>
        <w:autoSpaceDE w:val="0"/>
        <w:autoSpaceDN w:val="0"/>
        <w:adjustRightInd w:val="0"/>
        <w:jc w:val="both"/>
        <w:rPr>
          <w:rFonts w:asciiTheme="minorHAnsi" w:eastAsiaTheme="minorHAnsi" w:hAnsiTheme="minorHAnsi" w:cstheme="minorHAnsi"/>
          <w:color w:val="auto"/>
        </w:rPr>
      </w:pPr>
    </w:p>
    <w:p w14:paraId="6130F4AC" w14:textId="77777777" w:rsidR="00885D10" w:rsidRPr="00885D10" w:rsidRDefault="00885D10" w:rsidP="00885D10">
      <w:pPr>
        <w:autoSpaceDE w:val="0"/>
        <w:autoSpaceDN w:val="0"/>
        <w:adjustRightInd w:val="0"/>
        <w:jc w:val="both"/>
        <w:rPr>
          <w:rFonts w:asciiTheme="minorHAnsi" w:eastAsiaTheme="minorHAnsi" w:hAnsiTheme="minorHAnsi" w:cstheme="minorHAnsi"/>
          <w:color w:val="auto"/>
        </w:rPr>
      </w:pPr>
      <w:r w:rsidRPr="00885D10">
        <w:rPr>
          <w:rFonts w:asciiTheme="minorHAnsi" w:eastAsiaTheme="minorHAnsi" w:hAnsiTheme="minorHAnsi" w:cstheme="minorHAnsi"/>
          <w:color w:val="auto"/>
        </w:rPr>
        <w:t>To avoid imposing burdensome accounting rules with regard to contracts for bus, p</w:t>
      </w:r>
      <w:r w:rsidR="00C2265B">
        <w:rPr>
          <w:rFonts w:asciiTheme="minorHAnsi" w:eastAsiaTheme="minorHAnsi" w:hAnsiTheme="minorHAnsi" w:cstheme="minorHAnsi"/>
          <w:color w:val="auto"/>
        </w:rPr>
        <w:t>aratransit, and demand-respons</w:t>
      </w:r>
      <w:r w:rsidRPr="00885D10">
        <w:rPr>
          <w:rFonts w:asciiTheme="minorHAnsi" w:eastAsiaTheme="minorHAnsi" w:hAnsiTheme="minorHAnsi" w:cstheme="minorHAnsi"/>
          <w:color w:val="auto"/>
        </w:rPr>
        <w:t>e related services, FTA will allow the recipient to consider a percentage of leased service or contracted maintenance capital costs without further justification and will provide assistance for 80 percent of the resultant amount. The table below shows the percentages and the corresponding type of contract service for bus, paratransit, and demand-responsive related services. The percentages are calculations using data from the National Transit Database (NTD). Presented by type of contract, the calculations represent industry averages in counting capital-eligible activities as a share of total cost. The percentages apply whether the service is local, express, shuttle, paratransit, or demand-responsive service.</w:t>
      </w:r>
    </w:p>
    <w:p w14:paraId="6130F4AD" w14:textId="77777777" w:rsidR="00885D10" w:rsidRPr="00885D10" w:rsidRDefault="00885D10" w:rsidP="00885D10">
      <w:pPr>
        <w:spacing w:after="200" w:line="276" w:lineRule="auto"/>
        <w:jc w:val="both"/>
        <w:rPr>
          <w:rFonts w:ascii="Times New Roman" w:eastAsiaTheme="minorHAnsi" w:hAnsi="Times New Roman" w:cs="Times New Roman"/>
          <w:color w:val="auto"/>
        </w:rPr>
      </w:pPr>
      <w:r w:rsidRPr="00885D10">
        <w:rPr>
          <w:rFonts w:ascii="Times New Roman" w:eastAsiaTheme="minorHAnsi" w:hAnsi="Times New Roman" w:cs="Times New Roman"/>
          <w:color w:val="auto"/>
        </w:rPr>
        <w:br w:type="page"/>
      </w:r>
    </w:p>
    <w:p w14:paraId="6130F4AE" w14:textId="77777777" w:rsidR="00885D10" w:rsidRPr="00885D10" w:rsidRDefault="00885D10" w:rsidP="00885D10">
      <w:pPr>
        <w:autoSpaceDE w:val="0"/>
        <w:autoSpaceDN w:val="0"/>
        <w:adjustRightInd w:val="0"/>
        <w:jc w:val="both"/>
        <w:rPr>
          <w:rFonts w:ascii="Times New Roman" w:eastAsiaTheme="minorHAnsi" w:hAnsi="Times New Roman" w:cs="Times New Roman"/>
          <w:color w:val="auto"/>
        </w:rPr>
      </w:pPr>
    </w:p>
    <w:p w14:paraId="6130F4AF" w14:textId="77777777" w:rsidR="00885D10" w:rsidRPr="00885D10" w:rsidRDefault="00885D10" w:rsidP="00885D10">
      <w:pPr>
        <w:keepNext/>
        <w:autoSpaceDE w:val="0"/>
        <w:autoSpaceDN w:val="0"/>
        <w:adjustRightInd w:val="0"/>
        <w:jc w:val="both"/>
      </w:pPr>
      <w:r w:rsidRPr="00885D10">
        <w:rPr>
          <w:rFonts w:ascii="Times New Roman" w:eastAsiaTheme="minorHAnsi" w:hAnsi="Times New Roman" w:cs="Times New Roman"/>
          <w:noProof/>
          <w:color w:val="auto"/>
        </w:rPr>
        <w:drawing>
          <wp:inline distT="0" distB="0" distL="0" distR="0" wp14:anchorId="6130F5AE" wp14:editId="6130F5AF">
            <wp:extent cx="5932805" cy="4688840"/>
            <wp:effectExtent l="0" t="0" r="0" b="0"/>
            <wp:docPr id="9" name="Picture 9" descr="C:\Users\jdillard\Desktop\Captial Cost 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illard\Desktop\Captial Cost Char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805" cy="4688840"/>
                    </a:xfrm>
                    <a:prstGeom prst="rect">
                      <a:avLst/>
                    </a:prstGeom>
                    <a:noFill/>
                    <a:ln>
                      <a:noFill/>
                    </a:ln>
                  </pic:spPr>
                </pic:pic>
              </a:graphicData>
            </a:graphic>
          </wp:inline>
        </w:drawing>
      </w:r>
    </w:p>
    <w:p w14:paraId="6130F4B0" w14:textId="77777777" w:rsidR="00885D10" w:rsidRPr="00885D10" w:rsidRDefault="007B35EE" w:rsidP="00885D10">
      <w:pPr>
        <w:spacing w:after="200"/>
        <w:jc w:val="both"/>
        <w:rPr>
          <w:i/>
          <w:iCs/>
          <w:color w:val="1F497D" w:themeColor="text2"/>
          <w:sz w:val="18"/>
          <w:szCs w:val="18"/>
        </w:rPr>
      </w:pPr>
      <w:r>
        <w:rPr>
          <w:i/>
          <w:iCs/>
          <w:color w:val="1F497D" w:themeColor="text2"/>
          <w:sz w:val="18"/>
          <w:szCs w:val="18"/>
        </w:rPr>
        <w:t>Source</w:t>
      </w:r>
      <w:r w:rsidR="00885D10" w:rsidRPr="00885D10">
        <w:rPr>
          <w:i/>
          <w:iCs/>
          <w:color w:val="1F497D" w:themeColor="text2"/>
          <w:sz w:val="18"/>
          <w:szCs w:val="18"/>
        </w:rPr>
        <w:t xml:space="preserve"> FTA Circular 3090.1E IV-12</w:t>
      </w:r>
    </w:p>
    <w:p w14:paraId="6130F4B1" w14:textId="77777777" w:rsidR="00885D10" w:rsidRPr="00885D10" w:rsidRDefault="00885D10" w:rsidP="00885D10">
      <w:pPr>
        <w:autoSpaceDE w:val="0"/>
        <w:autoSpaceDN w:val="0"/>
        <w:adjustRightInd w:val="0"/>
        <w:ind w:left="360"/>
        <w:jc w:val="both"/>
        <w:rPr>
          <w:rFonts w:asciiTheme="minorHAnsi" w:hAnsiTheme="minorHAnsi" w:cstheme="minorHAnsi"/>
        </w:rPr>
      </w:pPr>
      <w:r w:rsidRPr="00885D10">
        <w:rPr>
          <w:rFonts w:asciiTheme="minorHAnsi" w:hAnsiTheme="minorHAnsi" w:cstheme="minorHAnsi"/>
        </w:rPr>
        <w:t>In essence, the Capital Cost of Contracting (CCoC) allows for various percentages of the contract to be considered Capital Costs, allowing for a higher federal match, which in turn reduces the required local match amount.</w:t>
      </w:r>
    </w:p>
    <w:p w14:paraId="6130F4B2" w14:textId="77777777" w:rsidR="00885D10" w:rsidRPr="00885D10" w:rsidRDefault="00885D10" w:rsidP="00885D10">
      <w:pPr>
        <w:autoSpaceDE w:val="0"/>
        <w:autoSpaceDN w:val="0"/>
        <w:adjustRightInd w:val="0"/>
        <w:ind w:left="360"/>
        <w:jc w:val="both"/>
        <w:rPr>
          <w:rFonts w:asciiTheme="minorHAnsi" w:hAnsiTheme="minorHAnsi" w:cstheme="minorHAnsi"/>
        </w:rPr>
      </w:pPr>
    </w:p>
    <w:p w14:paraId="6130F4B3" w14:textId="77777777" w:rsidR="00885D10" w:rsidRPr="00885D10" w:rsidRDefault="00885D10" w:rsidP="00885D10">
      <w:pPr>
        <w:autoSpaceDE w:val="0"/>
        <w:autoSpaceDN w:val="0"/>
        <w:adjustRightInd w:val="0"/>
        <w:ind w:left="360"/>
        <w:jc w:val="both"/>
        <w:rPr>
          <w:rFonts w:asciiTheme="minorHAnsi" w:hAnsiTheme="minorHAnsi" w:cstheme="minorHAnsi"/>
        </w:rPr>
      </w:pPr>
      <w:r w:rsidRPr="00885D10">
        <w:rPr>
          <w:rFonts w:asciiTheme="minorHAnsi" w:hAnsiTheme="minorHAnsi" w:cstheme="minorHAnsi"/>
        </w:rPr>
        <w:t xml:space="preserve">Below is a walkthrough of the CCoC Scenario 1 “Service Contract,” where the contractor provides the maintenance and service, and the recipient provides the vehicles. The cost figures are from the Valdosta Transit Implementation Study (2016), completed by the firm Tindale Oliver, and use their low estimates for planning purposes. </w:t>
      </w:r>
    </w:p>
    <w:p w14:paraId="6130F4B4" w14:textId="77777777" w:rsidR="00885D10" w:rsidRPr="00885D10" w:rsidRDefault="00885D10" w:rsidP="00885D10">
      <w:pPr>
        <w:autoSpaceDE w:val="0"/>
        <w:autoSpaceDN w:val="0"/>
        <w:adjustRightInd w:val="0"/>
        <w:jc w:val="both"/>
      </w:pPr>
    </w:p>
    <w:p w14:paraId="6130F4B5" w14:textId="77777777" w:rsidR="00885D10" w:rsidRPr="00885D10" w:rsidRDefault="00885D10" w:rsidP="00885D10">
      <w:pPr>
        <w:autoSpaceDE w:val="0"/>
        <w:autoSpaceDN w:val="0"/>
        <w:adjustRightInd w:val="0"/>
        <w:jc w:val="both"/>
        <w:sectPr w:rsidR="00885D10" w:rsidRPr="00885D10" w:rsidSect="00885D10">
          <w:footerReference w:type="default" r:id="rId35"/>
          <w:pgSz w:w="12240" w:h="15840"/>
          <w:pgMar w:top="1440" w:right="1440" w:bottom="1440" w:left="1440" w:header="720" w:footer="720" w:gutter="0"/>
          <w:cols w:space="720"/>
          <w:docGrid w:linePitch="360"/>
        </w:sectPr>
      </w:pPr>
    </w:p>
    <w:p w14:paraId="6130F4B6" w14:textId="77777777" w:rsidR="007B35EE" w:rsidRDefault="00885D10" w:rsidP="007B35EE">
      <w:pPr>
        <w:keepNext/>
        <w:spacing w:after="200" w:line="276" w:lineRule="auto"/>
        <w:jc w:val="both"/>
      </w:pPr>
      <w:r w:rsidRPr="00885D10">
        <w:rPr>
          <w:noProof/>
        </w:rPr>
        <w:lastRenderedPageBreak/>
        <w:drawing>
          <wp:inline distT="0" distB="0" distL="0" distR="0" wp14:anchorId="6130F5B0" wp14:editId="6130F5B1">
            <wp:extent cx="5943600" cy="2178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178915"/>
                    </a:xfrm>
                    <a:prstGeom prst="rect">
                      <a:avLst/>
                    </a:prstGeom>
                    <a:noFill/>
                  </pic:spPr>
                </pic:pic>
              </a:graphicData>
            </a:graphic>
          </wp:inline>
        </w:drawing>
      </w:r>
    </w:p>
    <w:p w14:paraId="6130F4B7" w14:textId="77777777" w:rsidR="00885D10" w:rsidRPr="00885D10" w:rsidRDefault="007B35EE" w:rsidP="007B35EE">
      <w:pPr>
        <w:pStyle w:val="Caption"/>
        <w:jc w:val="both"/>
      </w:pPr>
      <w:r>
        <w:t xml:space="preserve">Figure </w:t>
      </w:r>
      <w:fldSimple w:instr=" SEQ Figure \* ARABIC ">
        <w:r w:rsidR="003D3632">
          <w:rPr>
            <w:noProof/>
          </w:rPr>
          <w:t>14</w:t>
        </w:r>
      </w:fldSimple>
      <w:r>
        <w:t xml:space="preserve"> Capital Cost of Contracting Planning Figures</w:t>
      </w:r>
    </w:p>
    <w:p w14:paraId="6130F4B8" w14:textId="77777777" w:rsidR="00885D10" w:rsidRPr="00885D10" w:rsidRDefault="00885D10" w:rsidP="00885D10">
      <w:pPr>
        <w:spacing w:after="200"/>
        <w:jc w:val="both"/>
        <w:rPr>
          <w:rFonts w:asciiTheme="minorHAnsi" w:hAnsiTheme="minorHAnsi" w:cstheme="minorHAnsi"/>
        </w:rPr>
      </w:pPr>
      <w:r w:rsidRPr="00885D10">
        <w:rPr>
          <w:rFonts w:asciiTheme="minorHAnsi" w:hAnsiTheme="minorHAnsi" w:cstheme="minorHAnsi"/>
        </w:rPr>
        <w:t xml:space="preserve">The Fixed Capital Costs include bus shelters, benches, signage, and administrative technology costs, things a contractor would typically not own. Additional Fixed Capital Costs eligible items can be found </w:t>
      </w:r>
      <w:r w:rsidRPr="003D3632">
        <w:rPr>
          <w:rFonts w:asciiTheme="minorHAnsi" w:hAnsiTheme="minorHAnsi" w:cstheme="minorHAnsi"/>
        </w:rPr>
        <w:t xml:space="preserve">in Appendix </w:t>
      </w:r>
      <w:r w:rsidR="002E1B17">
        <w:rPr>
          <w:rFonts w:asciiTheme="minorHAnsi" w:hAnsiTheme="minorHAnsi" w:cstheme="minorHAnsi"/>
        </w:rPr>
        <w:t>C</w:t>
      </w:r>
      <w:r w:rsidRPr="00885D10">
        <w:rPr>
          <w:rFonts w:asciiTheme="minorHAnsi" w:hAnsiTheme="minorHAnsi" w:cstheme="minorHAnsi"/>
        </w:rPr>
        <w:t>. These costs are primarily the responsibility of a local governmental entity. The Capital Costs include the maintenance and rolling stock that would need to be provided order to implement two fixed routes as outlined by the Tindale Oliver Study. These figures account for five 15 passenger cut-away buses at $60,000 each and 13% annual maintenance costs of $40,000.</w:t>
      </w:r>
    </w:p>
    <w:p w14:paraId="6130F4B9" w14:textId="77777777" w:rsidR="00885D10" w:rsidRPr="00885D10" w:rsidRDefault="00885D10" w:rsidP="00885D10">
      <w:pPr>
        <w:spacing w:after="200"/>
        <w:jc w:val="both"/>
        <w:rPr>
          <w:rFonts w:asciiTheme="minorHAnsi" w:hAnsiTheme="minorHAnsi" w:cstheme="minorHAnsi"/>
        </w:rPr>
      </w:pPr>
      <w:r w:rsidRPr="00885D10">
        <w:rPr>
          <w:rFonts w:asciiTheme="minorHAnsi" w:hAnsiTheme="minorHAnsi" w:cstheme="minorHAnsi"/>
        </w:rPr>
        <w:t>The Service Costs also come from the Tindale Oliver Study, where $720,000 is the estimated cost of the fixed routes, and an additional 20% of the fixed route costs, or $144,000 are used as complementary paratransit costs. The Farebox Revenue is estimated using a 7% recovery rate of operating costs, and is deducted from the operating costs before Federal assistance is applied. The Local Revenue sources factor in later for local operating estimates.</w:t>
      </w:r>
    </w:p>
    <w:p w14:paraId="6130F4BA" w14:textId="77777777" w:rsidR="00885D10" w:rsidRPr="00885D10" w:rsidRDefault="00885D10" w:rsidP="00885D10">
      <w:pPr>
        <w:spacing w:after="200" w:line="276" w:lineRule="auto"/>
        <w:jc w:val="both"/>
      </w:pPr>
      <w:r w:rsidRPr="00885D10">
        <w:rPr>
          <w:noProof/>
        </w:rPr>
        <w:drawing>
          <wp:inline distT="0" distB="0" distL="0" distR="0" wp14:anchorId="6130F5B2" wp14:editId="6130F5B3">
            <wp:extent cx="5943600" cy="1615621"/>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1615621"/>
                    </a:xfrm>
                    <a:prstGeom prst="rect">
                      <a:avLst/>
                    </a:prstGeom>
                    <a:noFill/>
                    <a:ln>
                      <a:noFill/>
                    </a:ln>
                  </pic:spPr>
                </pic:pic>
              </a:graphicData>
            </a:graphic>
          </wp:inline>
        </w:drawing>
      </w:r>
    </w:p>
    <w:p w14:paraId="6130F4BB" w14:textId="77777777" w:rsidR="00885D10" w:rsidRPr="00885D10" w:rsidRDefault="00885D10" w:rsidP="00885D10">
      <w:pPr>
        <w:spacing w:after="200" w:line="276" w:lineRule="auto"/>
        <w:jc w:val="both"/>
      </w:pPr>
      <w:r w:rsidRPr="00885D10">
        <w:rPr>
          <w:rFonts w:asciiTheme="minorHAnsi" w:hAnsiTheme="minorHAnsi" w:cstheme="minorHAnsi"/>
        </w:rPr>
        <w:t>In Scenario 1, the Contractor provides the Maintenance and Service, making them eligible for the CCoC formula to apply, and the Vehicles are the responsibility of the Recipient. The costs for each scenario are broken down between the Federal, State, and Local levels to provide a clear understanding of financial obligations.</w:t>
      </w:r>
      <w:r w:rsidRPr="00885D10">
        <w:br w:type="page"/>
      </w:r>
    </w:p>
    <w:p w14:paraId="6130F4BC" w14:textId="77777777" w:rsidR="007B35EE" w:rsidRDefault="00885D10" w:rsidP="007B35EE">
      <w:pPr>
        <w:keepNext/>
        <w:spacing w:after="200" w:line="276" w:lineRule="auto"/>
        <w:jc w:val="both"/>
      </w:pPr>
      <w:r w:rsidRPr="00885D10">
        <w:rPr>
          <w:noProof/>
        </w:rPr>
        <w:lastRenderedPageBreak/>
        <w:drawing>
          <wp:inline distT="0" distB="0" distL="0" distR="0" wp14:anchorId="6130F5B4" wp14:editId="6130F5B5">
            <wp:extent cx="5943600" cy="1843158"/>
            <wp:effectExtent l="0" t="0" r="0" b="508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a:stretch>
                      <a:fillRect/>
                    </a:stretch>
                  </pic:blipFill>
                  <pic:spPr>
                    <a:xfrm>
                      <a:off x="0" y="0"/>
                      <a:ext cx="5943600" cy="1843158"/>
                    </a:xfrm>
                    <a:prstGeom prst="rect">
                      <a:avLst/>
                    </a:prstGeom>
                  </pic:spPr>
                </pic:pic>
              </a:graphicData>
            </a:graphic>
          </wp:inline>
        </w:drawing>
      </w:r>
    </w:p>
    <w:p w14:paraId="6130F4BD" w14:textId="77777777" w:rsidR="00885D10" w:rsidRPr="00885D10" w:rsidRDefault="007B35EE" w:rsidP="007B35EE">
      <w:pPr>
        <w:pStyle w:val="Caption"/>
        <w:jc w:val="both"/>
      </w:pPr>
      <w:r>
        <w:t xml:space="preserve">Figure </w:t>
      </w:r>
      <w:fldSimple w:instr=" SEQ Figure \* ARABIC ">
        <w:r w:rsidR="003D3632">
          <w:rPr>
            <w:noProof/>
          </w:rPr>
          <w:t>15</w:t>
        </w:r>
      </w:fldSimple>
      <w:r>
        <w:t xml:space="preserve"> Scenario 1 Capital Costs</w:t>
      </w:r>
    </w:p>
    <w:p w14:paraId="6130F4BE" w14:textId="77777777" w:rsidR="00885D10" w:rsidRP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In Scenario 1, the Recipient is responsible for providing the Vehicles. This is considered a traditional Capital Cost, and costs are accounted for at an 80%/10%/10% split between Federal, State, and Local entities, respectively. This equates to $240,000 provided at the Federal level, $30,000 provided at the State level, and $30,000 provided at the local level.</w:t>
      </w:r>
    </w:p>
    <w:p w14:paraId="6130F4BF" w14:textId="77777777" w:rsidR="00885D10" w:rsidRP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These costs are combined with the Fixed Capital Costs of $105,000, or $84,000 at the Federal level, $10,500 at the State level, and $10,500 at the local level.</w:t>
      </w:r>
    </w:p>
    <w:p w14:paraId="6130F4C0" w14:textId="77777777" w:rsidR="007B35EE" w:rsidRDefault="00885D10" w:rsidP="007B35EE">
      <w:pPr>
        <w:keepNext/>
        <w:spacing w:after="200" w:line="276" w:lineRule="auto"/>
        <w:jc w:val="both"/>
      </w:pPr>
      <w:r w:rsidRPr="00885D10">
        <w:rPr>
          <w:noProof/>
        </w:rPr>
        <w:drawing>
          <wp:inline distT="0" distB="0" distL="0" distR="0" wp14:anchorId="6130F5B6" wp14:editId="6130F5B7">
            <wp:extent cx="5943600" cy="18125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1812544"/>
                    </a:xfrm>
                    <a:prstGeom prst="rect">
                      <a:avLst/>
                    </a:prstGeom>
                    <a:noFill/>
                  </pic:spPr>
                </pic:pic>
              </a:graphicData>
            </a:graphic>
          </wp:inline>
        </w:drawing>
      </w:r>
    </w:p>
    <w:p w14:paraId="6130F4C1" w14:textId="77777777" w:rsidR="00885D10" w:rsidRPr="00885D10" w:rsidRDefault="007B35EE" w:rsidP="007B35EE">
      <w:pPr>
        <w:pStyle w:val="Caption"/>
        <w:jc w:val="both"/>
      </w:pPr>
      <w:r>
        <w:t xml:space="preserve">Figure </w:t>
      </w:r>
      <w:fldSimple w:instr=" SEQ Figure \* ARABIC ">
        <w:r w:rsidR="003D3632">
          <w:rPr>
            <w:noProof/>
          </w:rPr>
          <w:t>16</w:t>
        </w:r>
      </w:fldSimple>
      <w:r>
        <w:t xml:space="preserve"> Scenario 1 Operational Costs</w:t>
      </w:r>
    </w:p>
    <w:p w14:paraId="6130F4C2" w14:textId="77777777" w:rsidR="00885D10" w:rsidRPr="00885D10" w:rsidRDefault="00885D10" w:rsidP="00885D10">
      <w:pPr>
        <w:spacing w:after="200" w:line="276" w:lineRule="auto"/>
        <w:jc w:val="both"/>
        <w:rPr>
          <w:rFonts w:asciiTheme="minorHAnsi" w:hAnsiTheme="minorHAnsi" w:cstheme="minorHAnsi"/>
          <w:sz w:val="22"/>
        </w:rPr>
      </w:pPr>
    </w:p>
    <w:p w14:paraId="6130F4C3" w14:textId="77777777" w:rsidR="00885D10" w:rsidRPr="00885D10" w:rsidRDefault="00885D10" w:rsidP="00885D10">
      <w:pPr>
        <w:spacing w:after="200" w:line="276" w:lineRule="auto"/>
        <w:jc w:val="both"/>
        <w:rPr>
          <w:sz w:val="28"/>
        </w:rPr>
      </w:pPr>
      <w:r w:rsidRPr="00885D10">
        <w:rPr>
          <w:rFonts w:asciiTheme="minorHAnsi" w:hAnsiTheme="minorHAnsi" w:cstheme="minorHAnsi"/>
        </w:rPr>
        <w:t>In Scenario 1, since the Contractor is providing the Maintenance and Service, these costs are considering Contracted Costs and are eligible for the CCoC Formula to apply. The Maintenance and Service Costs, less the Fare Revenue equates to $853,600 in contracted costs.</w:t>
      </w:r>
    </w:p>
    <w:p w14:paraId="6130F4C4" w14:textId="77777777" w:rsidR="007B35EE" w:rsidRDefault="00885D10" w:rsidP="007B35EE">
      <w:pPr>
        <w:keepNext/>
        <w:spacing w:after="200" w:line="276" w:lineRule="auto"/>
        <w:jc w:val="both"/>
      </w:pPr>
      <w:r w:rsidRPr="00885D10">
        <w:rPr>
          <w:noProof/>
        </w:rPr>
        <w:lastRenderedPageBreak/>
        <w:drawing>
          <wp:inline distT="0" distB="0" distL="0" distR="0" wp14:anchorId="6130F5B8" wp14:editId="6130F5B9">
            <wp:extent cx="5943600" cy="20581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058167"/>
                    </a:xfrm>
                    <a:prstGeom prst="rect">
                      <a:avLst/>
                    </a:prstGeom>
                    <a:noFill/>
                  </pic:spPr>
                </pic:pic>
              </a:graphicData>
            </a:graphic>
          </wp:inline>
        </w:drawing>
      </w:r>
    </w:p>
    <w:p w14:paraId="6130F4C5" w14:textId="77777777" w:rsidR="00885D10" w:rsidRPr="00885D10" w:rsidRDefault="007B35EE" w:rsidP="007B35EE">
      <w:pPr>
        <w:pStyle w:val="Caption"/>
        <w:jc w:val="both"/>
      </w:pPr>
      <w:r>
        <w:t xml:space="preserve">Figure </w:t>
      </w:r>
      <w:fldSimple w:instr=" SEQ Figure \* ARABIC ">
        <w:r w:rsidR="003D3632">
          <w:rPr>
            <w:noProof/>
          </w:rPr>
          <w:t>17</w:t>
        </w:r>
      </w:fldSimple>
      <w:r>
        <w:t xml:space="preserve"> Scenario 1 Capital Cost of Contracting Formula</w:t>
      </w:r>
    </w:p>
    <w:p w14:paraId="6130F4C6" w14:textId="77777777" w:rsidR="00885D10" w:rsidRPr="00885D10" w:rsidRDefault="00885D10" w:rsidP="00885D10">
      <w:pPr>
        <w:spacing w:after="200" w:line="276" w:lineRule="auto"/>
        <w:jc w:val="both"/>
        <w:rPr>
          <w:noProof/>
        </w:rPr>
      </w:pPr>
      <w:r w:rsidRPr="00885D10">
        <w:rPr>
          <w:rFonts w:asciiTheme="minorHAnsi" w:hAnsiTheme="minorHAnsi" w:cstheme="minorHAnsi"/>
        </w:rPr>
        <w:t xml:space="preserve">In Scenario 1, 40% of the contracted costs are able to be receive the 80% Federal level match. This computes to $273,152 of the contracted service being paid by Federal funds, and $68,288 required from the local governmental entity. </w:t>
      </w:r>
    </w:p>
    <w:p w14:paraId="6130F4C7" w14:textId="77777777" w:rsidR="007B35EE" w:rsidRDefault="00885D10" w:rsidP="007B35EE">
      <w:pPr>
        <w:keepNext/>
        <w:spacing w:after="200" w:line="276" w:lineRule="auto"/>
        <w:jc w:val="both"/>
      </w:pPr>
      <w:r w:rsidRPr="00885D10">
        <w:rPr>
          <w:noProof/>
        </w:rPr>
        <w:drawing>
          <wp:inline distT="0" distB="0" distL="0" distR="0" wp14:anchorId="6130F5BA" wp14:editId="6130F5BB">
            <wp:extent cx="5943600" cy="2011240"/>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2011240"/>
                    </a:xfrm>
                    <a:prstGeom prst="rect">
                      <a:avLst/>
                    </a:prstGeom>
                    <a:noFill/>
                  </pic:spPr>
                </pic:pic>
              </a:graphicData>
            </a:graphic>
          </wp:inline>
        </w:drawing>
      </w:r>
    </w:p>
    <w:p w14:paraId="6130F4C8" w14:textId="77777777" w:rsidR="00885D10" w:rsidRPr="00885D10" w:rsidRDefault="007B35EE" w:rsidP="007B35EE">
      <w:pPr>
        <w:pStyle w:val="Caption"/>
        <w:jc w:val="both"/>
      </w:pPr>
      <w:r>
        <w:t xml:space="preserve">Figure </w:t>
      </w:r>
      <w:fldSimple w:instr=" SEQ Figure \* ARABIC ">
        <w:r w:rsidR="003D3632">
          <w:rPr>
            <w:noProof/>
          </w:rPr>
          <w:t>18</w:t>
        </w:r>
      </w:fldSimple>
      <w:r>
        <w:t xml:space="preserve"> Scenario 1 Capital Cost of Contracting Remaining Operations Formula</w:t>
      </w:r>
    </w:p>
    <w:p w14:paraId="6130F4C9" w14:textId="77777777" w:rsidR="00885D10" w:rsidRPr="00885D10" w:rsidRDefault="00885D10" w:rsidP="00885D10">
      <w:pPr>
        <w:spacing w:after="200" w:line="276" w:lineRule="auto"/>
        <w:jc w:val="both"/>
        <w:rPr>
          <w:rFonts w:asciiTheme="minorHAnsi" w:hAnsiTheme="minorHAnsi" w:cstheme="minorHAnsi"/>
          <w:sz w:val="28"/>
        </w:rPr>
      </w:pPr>
      <w:r w:rsidRPr="00885D10">
        <w:rPr>
          <w:rFonts w:asciiTheme="minorHAnsi" w:hAnsiTheme="minorHAnsi" w:cstheme="minorHAnsi"/>
        </w:rPr>
        <w:t>This still leaves 60% of the contracted costs that are not eligible for the CCoC formula, or $512,160, that must be split between the Federal and Local level at a 50/50 match requirement. This breaks down to $256,080 of Operating Costs that must be covered by the Federal and Local governmental entity.</w:t>
      </w:r>
    </w:p>
    <w:p w14:paraId="6130F4CA" w14:textId="77777777" w:rsidR="007B35EE" w:rsidRDefault="00885D10" w:rsidP="007B35EE">
      <w:pPr>
        <w:keepNext/>
        <w:spacing w:after="200" w:line="276" w:lineRule="auto"/>
        <w:jc w:val="both"/>
      </w:pPr>
      <w:r w:rsidRPr="00885D10">
        <w:rPr>
          <w:noProof/>
        </w:rPr>
        <w:lastRenderedPageBreak/>
        <w:drawing>
          <wp:inline distT="0" distB="0" distL="0" distR="0" wp14:anchorId="6130F5BC" wp14:editId="6130F5BD">
            <wp:extent cx="5943600" cy="15706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570615"/>
                    </a:xfrm>
                    <a:prstGeom prst="rect">
                      <a:avLst/>
                    </a:prstGeom>
                    <a:noFill/>
                  </pic:spPr>
                </pic:pic>
              </a:graphicData>
            </a:graphic>
          </wp:inline>
        </w:drawing>
      </w:r>
    </w:p>
    <w:p w14:paraId="6130F4CB" w14:textId="77777777" w:rsidR="00885D10" w:rsidRPr="00885D10" w:rsidRDefault="007B35EE" w:rsidP="007B35EE">
      <w:pPr>
        <w:pStyle w:val="Caption"/>
        <w:jc w:val="both"/>
      </w:pPr>
      <w:r>
        <w:t xml:space="preserve">Figure </w:t>
      </w:r>
      <w:fldSimple w:instr=" SEQ Figure \* ARABIC ">
        <w:r w:rsidR="003D3632">
          <w:rPr>
            <w:noProof/>
          </w:rPr>
          <w:t>19</w:t>
        </w:r>
      </w:fldSimple>
      <w:r>
        <w:t xml:space="preserve"> Scenario 1 Financial Obligation Breakdown</w:t>
      </w:r>
    </w:p>
    <w:p w14:paraId="6130F4CC" w14:textId="77777777" w:rsidR="00885D10" w:rsidRP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In Scenario 1, the financial obligation breakdown is as follows: $853,232 at the Federal level, $40,500 at the State level, and $364,868 at the Local level. These figures include the Fixed Capital Costs, Capital Costs of Contracting, Traditional Capital Costs, and Operating Costs.</w:t>
      </w:r>
    </w:p>
    <w:p w14:paraId="6130F4CD" w14:textId="77777777" w:rsidR="00885D10" w:rsidRP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All 7 scenarios listed under the Capital Cost of Contracting table, as well as an 8</w:t>
      </w:r>
      <w:r w:rsidRPr="00885D10">
        <w:rPr>
          <w:rFonts w:asciiTheme="minorHAnsi" w:hAnsiTheme="minorHAnsi" w:cstheme="minorHAnsi"/>
          <w:vertAlign w:val="superscript"/>
        </w:rPr>
        <w:t>th</w:t>
      </w:r>
      <w:r w:rsidRPr="00885D10">
        <w:rPr>
          <w:rFonts w:asciiTheme="minorHAnsi" w:hAnsiTheme="minorHAnsi" w:cstheme="minorHAnsi"/>
        </w:rPr>
        <w:t xml:space="preserve"> scenario where a local entity provides the vehicles, maintenance, and service were computed using the same costs </w:t>
      </w:r>
      <w:r w:rsidR="002E1B17">
        <w:rPr>
          <w:rFonts w:asciiTheme="minorHAnsi" w:hAnsiTheme="minorHAnsi" w:cstheme="minorHAnsi"/>
        </w:rPr>
        <w:t>in Figure 13 on page 33</w:t>
      </w:r>
      <w:r w:rsidRPr="00885D10">
        <w:rPr>
          <w:rFonts w:asciiTheme="minorHAnsi" w:hAnsiTheme="minorHAnsi" w:cstheme="minorHAnsi"/>
        </w:rPr>
        <w:t xml:space="preserve">, and their financial obligation breakdowns are listed in </w:t>
      </w:r>
      <w:r w:rsidRPr="00D45CC9">
        <w:rPr>
          <w:rFonts w:asciiTheme="minorHAnsi" w:hAnsiTheme="minorHAnsi" w:cstheme="minorHAnsi"/>
        </w:rPr>
        <w:t xml:space="preserve">Appendix </w:t>
      </w:r>
      <w:r w:rsidR="002E1B17" w:rsidRPr="00D45CC9">
        <w:rPr>
          <w:rFonts w:asciiTheme="minorHAnsi" w:hAnsiTheme="minorHAnsi" w:cstheme="minorHAnsi"/>
        </w:rPr>
        <w:t>D</w:t>
      </w:r>
      <w:r w:rsidRPr="00D45CC9">
        <w:rPr>
          <w:rFonts w:asciiTheme="minorHAnsi" w:hAnsiTheme="minorHAnsi" w:cstheme="minorHAnsi"/>
        </w:rPr>
        <w:t>.</w:t>
      </w:r>
      <w:r w:rsidRPr="00885D10">
        <w:rPr>
          <w:rFonts w:asciiTheme="minorHAnsi" w:hAnsiTheme="minorHAnsi" w:cstheme="minorHAnsi"/>
        </w:rPr>
        <w:t xml:space="preserve"> </w:t>
      </w:r>
    </w:p>
    <w:p w14:paraId="6130F4CE" w14:textId="77777777" w:rsidR="00885D10" w:rsidRP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 xml:space="preserve">Included in Appendix </w:t>
      </w:r>
      <w:r w:rsidR="002E1B17">
        <w:rPr>
          <w:rFonts w:asciiTheme="minorHAnsi" w:hAnsiTheme="minorHAnsi" w:cstheme="minorHAnsi"/>
        </w:rPr>
        <w:t xml:space="preserve">E </w:t>
      </w:r>
      <w:r w:rsidRPr="00885D10">
        <w:rPr>
          <w:rFonts w:asciiTheme="minorHAnsi" w:hAnsiTheme="minorHAnsi" w:cstheme="minorHAnsi"/>
        </w:rPr>
        <w:t xml:space="preserve">are 5-year Capital and </w:t>
      </w:r>
      <w:r w:rsidRPr="00D45CC9">
        <w:rPr>
          <w:rFonts w:asciiTheme="minorHAnsi" w:hAnsiTheme="minorHAnsi" w:cstheme="minorHAnsi"/>
        </w:rPr>
        <w:t>Operating</w:t>
      </w:r>
      <w:r w:rsidRPr="00885D10">
        <w:rPr>
          <w:rFonts w:asciiTheme="minorHAnsi" w:hAnsiTheme="minorHAnsi" w:cstheme="minorHAnsi"/>
        </w:rPr>
        <w:t xml:space="preserve"> estimated budgets for each scenario. The costs assume a 2.32%</w:t>
      </w:r>
      <w:r w:rsidR="00C2265B">
        <w:rPr>
          <w:rFonts w:asciiTheme="minorHAnsi" w:hAnsiTheme="minorHAnsi" w:cstheme="minorHAnsi"/>
        </w:rPr>
        <w:t xml:space="preserve"> annual inflation rate, and a 4-</w:t>
      </w:r>
      <w:r w:rsidRPr="00885D10">
        <w:rPr>
          <w:rFonts w:asciiTheme="minorHAnsi" w:hAnsiTheme="minorHAnsi" w:cstheme="minorHAnsi"/>
        </w:rPr>
        <w:t xml:space="preserve">year useful vehicle life. </w:t>
      </w:r>
    </w:p>
    <w:p w14:paraId="6130F4CF" w14:textId="77777777" w:rsidR="00885D10" w:rsidRDefault="00885D10" w:rsidP="00885D10">
      <w:pPr>
        <w:spacing w:after="200" w:line="276" w:lineRule="auto"/>
        <w:jc w:val="both"/>
        <w:rPr>
          <w:rFonts w:asciiTheme="minorHAnsi" w:hAnsiTheme="minorHAnsi" w:cstheme="minorHAnsi"/>
        </w:rPr>
      </w:pPr>
      <w:r w:rsidRPr="00885D10">
        <w:rPr>
          <w:rFonts w:asciiTheme="minorHAnsi" w:hAnsiTheme="minorHAnsi" w:cstheme="minorHAnsi"/>
        </w:rPr>
        <w:t>It must be noted that the costs used were planning level figures, and subject to change dependent upon any given number of variables. An example of these variables is the type and costs of vehicles used to provide the service. While the Tindale O</w:t>
      </w:r>
      <w:r w:rsidR="00C2265B">
        <w:rPr>
          <w:rFonts w:asciiTheme="minorHAnsi" w:hAnsiTheme="minorHAnsi" w:cstheme="minorHAnsi"/>
        </w:rPr>
        <w:t>liver study recommended five 15-</w:t>
      </w:r>
      <w:r w:rsidRPr="00885D10">
        <w:rPr>
          <w:rFonts w:asciiTheme="minorHAnsi" w:hAnsiTheme="minorHAnsi" w:cstheme="minorHAnsi"/>
        </w:rPr>
        <w:t>passenger vehicles, a contractor or local entity may decide to use a smaller or larger vehicle, which could drastically change the costs and scenario outcomes. A smaller 10 passenger vehicle might co</w:t>
      </w:r>
      <w:r w:rsidR="00C2265B">
        <w:rPr>
          <w:rFonts w:asciiTheme="minorHAnsi" w:hAnsiTheme="minorHAnsi" w:cstheme="minorHAnsi"/>
        </w:rPr>
        <w:t>st $30,000, whereas a larger 30-</w:t>
      </w:r>
      <w:r w:rsidRPr="00885D10">
        <w:rPr>
          <w:rFonts w:asciiTheme="minorHAnsi" w:hAnsiTheme="minorHAnsi" w:cstheme="minorHAnsi"/>
        </w:rPr>
        <w:t>passenger vehicle might cost upwards of $200,000. Additionally, the fuel type used in each vehicle could have an impact on operational and maintenance costs, as diesel, compressed natural gas, and electric or hybrid vehicles may require additional infrastructure or specialized service technicians.</w:t>
      </w:r>
    </w:p>
    <w:p w14:paraId="6130F4D0" w14:textId="77777777" w:rsidR="00885D10" w:rsidRDefault="00885D10" w:rsidP="00D45CC9">
      <w:pPr>
        <w:pStyle w:val="Subtitle"/>
      </w:pPr>
      <w:r w:rsidRPr="00885D10">
        <w:t>The Local Share</w:t>
      </w:r>
    </w:p>
    <w:p w14:paraId="6130F4D1" w14:textId="77777777" w:rsidR="00885D10" w:rsidRPr="00885D10" w:rsidRDefault="00885D10" w:rsidP="00885D10">
      <w:pPr>
        <w:autoSpaceDE w:val="0"/>
        <w:autoSpaceDN w:val="0"/>
        <w:adjustRightInd w:val="0"/>
        <w:jc w:val="both"/>
        <w:rPr>
          <w:rFonts w:asciiTheme="minorHAnsi" w:hAnsiTheme="minorHAnsi" w:cstheme="minorHAnsi"/>
        </w:rPr>
      </w:pPr>
      <w:r w:rsidRPr="00885D10">
        <w:rPr>
          <w:rFonts w:asciiTheme="minorHAnsi" w:hAnsiTheme="minorHAnsi" w:cstheme="minorHAnsi"/>
        </w:rPr>
        <w:t xml:space="preserve">In addition to the 5307 funds, there are several revenue streams available to help offset the financial obligation at the local level, further reducing the local cash amount required by a local entity. This section will describe these options and how they might be able to be implemented in a transit service in the Valdosta Urbanized Area. </w:t>
      </w:r>
    </w:p>
    <w:p w14:paraId="472B1D63" w14:textId="77777777" w:rsidR="00667733" w:rsidRDefault="00667733" w:rsidP="00885D10">
      <w:pPr>
        <w:autoSpaceDE w:val="0"/>
        <w:autoSpaceDN w:val="0"/>
        <w:adjustRightInd w:val="0"/>
        <w:jc w:val="both"/>
        <w:rPr>
          <w:rStyle w:val="SubtleEmphasis"/>
        </w:rPr>
      </w:pPr>
    </w:p>
    <w:p w14:paraId="6130F4D3" w14:textId="77777777" w:rsidR="00885D10" w:rsidRPr="00D45CC9" w:rsidRDefault="00885D10" w:rsidP="00885D10">
      <w:pPr>
        <w:autoSpaceDE w:val="0"/>
        <w:autoSpaceDN w:val="0"/>
        <w:adjustRightInd w:val="0"/>
        <w:jc w:val="both"/>
        <w:rPr>
          <w:rStyle w:val="SubtleEmphasis"/>
        </w:rPr>
      </w:pPr>
      <w:r w:rsidRPr="00D45CC9">
        <w:rPr>
          <w:rStyle w:val="SubtleEmphasis"/>
        </w:rPr>
        <w:t>Innovative Options</w:t>
      </w:r>
    </w:p>
    <w:p w14:paraId="6130F4D4" w14:textId="77777777" w:rsidR="00885D10" w:rsidRPr="00885D10" w:rsidRDefault="00885D10" w:rsidP="00885D10">
      <w:pPr>
        <w:autoSpaceDE w:val="0"/>
        <w:autoSpaceDN w:val="0"/>
        <w:adjustRightInd w:val="0"/>
        <w:jc w:val="both"/>
        <w:rPr>
          <w:rFonts w:asciiTheme="minorHAnsi" w:hAnsiTheme="minorHAnsi" w:cstheme="minorHAnsi"/>
        </w:rPr>
      </w:pPr>
      <w:r w:rsidRPr="00885D10">
        <w:rPr>
          <w:rFonts w:asciiTheme="minorHAnsi" w:hAnsiTheme="minorHAnsi" w:cstheme="minorHAnsi"/>
        </w:rPr>
        <w:t xml:space="preserve">The first is Purchase of Service (POS) revenue from contracts through other agencies or businesses. This would include funds from the Department of Human Services Coordinated Transportation program, as well as Medicare/Medicaid, and other social service agencies. </w:t>
      </w:r>
      <w:r w:rsidRPr="00885D10">
        <w:rPr>
          <w:rFonts w:asciiTheme="minorHAnsi" w:hAnsiTheme="minorHAnsi" w:cstheme="minorHAnsi"/>
        </w:rPr>
        <w:lastRenderedPageBreak/>
        <w:t>Currently, the Lowndes County Rural On-Demand Transit system is receiving and using POS revenue to meet the local match requirement for the 5311 funds. Any POS funds used for an urban transit system may have an adverse impact on the funding currently used for the rural system in Lowndes County, utilization of this funding mechanism should be further researched for impact on local transit programs before implementation. (FTA Circular C 9030.1E IV-15)</w:t>
      </w:r>
    </w:p>
    <w:p w14:paraId="6130F4D5" w14:textId="77777777" w:rsidR="00885D10" w:rsidRPr="00885D10" w:rsidRDefault="00885D10" w:rsidP="00885D10">
      <w:pPr>
        <w:jc w:val="both"/>
        <w:rPr>
          <w:rFonts w:asciiTheme="minorHAnsi" w:hAnsiTheme="minorHAnsi" w:cstheme="minorHAnsi"/>
        </w:rPr>
      </w:pPr>
    </w:p>
    <w:p w14:paraId="6130F4D6" w14:textId="77777777" w:rsidR="00885D10" w:rsidRDefault="00885D10" w:rsidP="00885D10">
      <w:pPr>
        <w:jc w:val="both"/>
        <w:rPr>
          <w:rFonts w:asciiTheme="minorHAnsi" w:hAnsiTheme="minorHAnsi" w:cstheme="minorHAnsi"/>
        </w:rPr>
      </w:pPr>
      <w:r w:rsidRPr="00885D10">
        <w:rPr>
          <w:rFonts w:asciiTheme="minorHAnsi" w:hAnsiTheme="minorHAnsi" w:cstheme="minorHAnsi"/>
        </w:rPr>
        <w:t xml:space="preserve">The City of Valdosta receives an annual Community Development Block Grant (CDBG) based on their population. For 2016 this amounted to $576,889. All or a portion of this grant could be used as local match in funding an urban transit system. </w:t>
      </w:r>
      <w:r w:rsidR="00C2265B">
        <w:rPr>
          <w:rFonts w:asciiTheme="minorHAnsi" w:hAnsiTheme="minorHAnsi" w:cstheme="minorHAnsi"/>
        </w:rPr>
        <w:t>Whether to utilize the</w:t>
      </w:r>
      <w:r w:rsidRPr="00885D10">
        <w:rPr>
          <w:rFonts w:asciiTheme="minorHAnsi" w:hAnsiTheme="minorHAnsi" w:cstheme="minorHAnsi"/>
        </w:rPr>
        <w:t xml:space="preserve"> CDBG</w:t>
      </w:r>
      <w:r w:rsidR="00C2265B">
        <w:rPr>
          <w:rFonts w:asciiTheme="minorHAnsi" w:hAnsiTheme="minorHAnsi" w:cstheme="minorHAnsi"/>
        </w:rPr>
        <w:t>,</w:t>
      </w:r>
      <w:r w:rsidRPr="00885D10">
        <w:rPr>
          <w:rFonts w:asciiTheme="minorHAnsi" w:hAnsiTheme="minorHAnsi" w:cstheme="minorHAnsi"/>
        </w:rPr>
        <w:t xml:space="preserve"> and how much </w:t>
      </w:r>
      <w:r w:rsidR="00C2265B">
        <w:rPr>
          <w:rFonts w:asciiTheme="minorHAnsi" w:hAnsiTheme="minorHAnsi" w:cstheme="minorHAnsi"/>
        </w:rPr>
        <w:t xml:space="preserve">it to use, </w:t>
      </w:r>
      <w:r w:rsidRPr="00885D10">
        <w:rPr>
          <w:rFonts w:asciiTheme="minorHAnsi" w:hAnsiTheme="minorHAnsi" w:cstheme="minorHAnsi"/>
        </w:rPr>
        <w:t>would be an opportunity cost decision left up to City of Valdosta officials. (FTA Circular 9030.1E III-9)</w:t>
      </w:r>
    </w:p>
    <w:p w14:paraId="6130F4D7" w14:textId="77777777" w:rsidR="00C2265B" w:rsidRPr="00885D10" w:rsidRDefault="00C2265B" w:rsidP="00885D10">
      <w:pPr>
        <w:jc w:val="both"/>
        <w:rPr>
          <w:rFonts w:asciiTheme="minorHAnsi" w:hAnsiTheme="minorHAnsi" w:cstheme="minorHAnsi"/>
        </w:rPr>
      </w:pPr>
    </w:p>
    <w:p w14:paraId="6130F4D8" w14:textId="77777777" w:rsidR="00885D10" w:rsidRPr="00885D10" w:rsidRDefault="00885D10" w:rsidP="00885D10">
      <w:pPr>
        <w:autoSpaceDE w:val="0"/>
        <w:autoSpaceDN w:val="0"/>
        <w:adjustRightInd w:val="0"/>
        <w:jc w:val="both"/>
        <w:rPr>
          <w:rFonts w:asciiTheme="minorHAnsi" w:eastAsiaTheme="minorHAnsi" w:hAnsiTheme="minorHAnsi" w:cstheme="minorHAnsi"/>
          <w:color w:val="auto"/>
          <w:szCs w:val="22"/>
        </w:rPr>
      </w:pPr>
      <w:r w:rsidRPr="00885D10">
        <w:rPr>
          <w:rFonts w:asciiTheme="minorHAnsi" w:hAnsiTheme="minorHAnsi" w:cstheme="minorHAnsi"/>
        </w:rPr>
        <w:t xml:space="preserve">The second is through partnerships with either local businesses or authorities, or with educational institutions like South Georgia Medical Center, Wiregrass Georgia Technical College, and Valdosta State University (VSU). VSU </w:t>
      </w:r>
      <w:r w:rsidRPr="00885D10">
        <w:rPr>
          <w:rFonts w:asciiTheme="minorHAnsi" w:eastAsiaTheme="minorHAnsi" w:hAnsiTheme="minorHAnsi" w:cstheme="minorHAnsi"/>
          <w:color w:val="auto"/>
          <w:szCs w:val="22"/>
        </w:rPr>
        <w:t>is an organization that could benefit from improved transit service and may be open to a partnership. For example, a more robust local transit system could reduce the need for parking on campus, saving VSU capital and maintenance costs associated with parking structures and lots, or allowing the university to redevelop underutilized parking facilities for classrooms, laboratory space, or other academic purposes. In partnering with VSU, there may also be an opportunity to report trips on the internal VSU transit system to NTD, and therefore count those trips in the Section 5307 funding formula.</w:t>
      </w:r>
    </w:p>
    <w:p w14:paraId="6130F4D9" w14:textId="77777777" w:rsidR="00885D10" w:rsidRPr="00885D10" w:rsidRDefault="00885D10" w:rsidP="00885D10">
      <w:pPr>
        <w:autoSpaceDE w:val="0"/>
        <w:autoSpaceDN w:val="0"/>
        <w:adjustRightInd w:val="0"/>
        <w:jc w:val="both"/>
        <w:rPr>
          <w:rFonts w:ascii="Calibri" w:eastAsiaTheme="minorHAnsi" w:hAnsi="Calibri" w:cs="Calibri"/>
          <w:color w:val="auto"/>
          <w:szCs w:val="22"/>
        </w:rPr>
      </w:pPr>
    </w:p>
    <w:p w14:paraId="6130F4DA" w14:textId="01D5DC5A" w:rsidR="00885D10" w:rsidRPr="00885D10" w:rsidRDefault="00885D10" w:rsidP="00885D10">
      <w:pPr>
        <w:autoSpaceDE w:val="0"/>
        <w:autoSpaceDN w:val="0"/>
        <w:adjustRightInd w:val="0"/>
        <w:jc w:val="both"/>
        <w:rPr>
          <w:rFonts w:asciiTheme="minorHAnsi" w:eastAsiaTheme="minorHAnsi" w:hAnsiTheme="minorHAnsi" w:cstheme="minorHAnsi"/>
          <w:color w:val="auto"/>
          <w:szCs w:val="22"/>
        </w:rPr>
      </w:pPr>
      <w:r w:rsidRPr="00885D10">
        <w:rPr>
          <w:rFonts w:asciiTheme="minorHAnsi" w:eastAsiaTheme="minorHAnsi" w:hAnsiTheme="minorHAnsi" w:cstheme="minorHAnsi"/>
          <w:color w:val="auto"/>
          <w:szCs w:val="22"/>
        </w:rPr>
        <w:t xml:space="preserve">The University </w:t>
      </w:r>
      <w:r w:rsidR="00667733" w:rsidRPr="00885D10">
        <w:rPr>
          <w:rFonts w:asciiTheme="minorHAnsi" w:eastAsiaTheme="minorHAnsi" w:hAnsiTheme="minorHAnsi" w:cstheme="minorHAnsi"/>
          <w:color w:val="auto"/>
          <w:szCs w:val="22"/>
        </w:rPr>
        <w:t>of</w:t>
      </w:r>
      <w:r w:rsidRPr="00885D10">
        <w:rPr>
          <w:rFonts w:asciiTheme="minorHAnsi" w:eastAsiaTheme="minorHAnsi" w:hAnsiTheme="minorHAnsi" w:cstheme="minorHAnsi"/>
          <w:color w:val="auto"/>
          <w:szCs w:val="22"/>
        </w:rPr>
        <w:t xml:space="preserve"> Georgia (UGA) in Athens is an example where the college contracts with the Athens Transit System (ATS) to provide service to students and citizens alike. This partnership allows for a higher level of mobility for students, improves operational efficiency by minimizing duplicated services, and lessens road congestion and maintenance costs to local governments. UGA uses student fees to pay ATS on a monthly basis, which reduces the local match amount required. Other transit agencies across the country are partnering with private businesses or authorities willing to self-impose transit tax districts to attract more employees, or contract with apartment complexes, which include a pre-paid transit pass as one of their amenities.</w:t>
      </w:r>
    </w:p>
    <w:p w14:paraId="6130F4DB" w14:textId="77777777" w:rsidR="00885D10" w:rsidRPr="00885D10" w:rsidRDefault="00885D10" w:rsidP="00885D10">
      <w:pPr>
        <w:autoSpaceDE w:val="0"/>
        <w:autoSpaceDN w:val="0"/>
        <w:adjustRightInd w:val="0"/>
        <w:jc w:val="both"/>
        <w:rPr>
          <w:rFonts w:asciiTheme="minorHAnsi" w:hAnsiTheme="minorHAnsi" w:cstheme="minorHAnsi"/>
          <w:sz w:val="22"/>
        </w:rPr>
      </w:pPr>
    </w:p>
    <w:p w14:paraId="6130F4DC" w14:textId="77777777" w:rsidR="00885D10" w:rsidRPr="00885D10" w:rsidRDefault="00885D10" w:rsidP="00885D10">
      <w:pPr>
        <w:autoSpaceDE w:val="0"/>
        <w:autoSpaceDN w:val="0"/>
        <w:adjustRightInd w:val="0"/>
        <w:jc w:val="both"/>
        <w:rPr>
          <w:rFonts w:asciiTheme="minorHAnsi" w:hAnsiTheme="minorHAnsi" w:cstheme="minorHAnsi"/>
          <w:sz w:val="22"/>
        </w:rPr>
      </w:pPr>
      <w:r w:rsidRPr="00885D10">
        <w:rPr>
          <w:rFonts w:asciiTheme="minorHAnsi" w:hAnsiTheme="minorHAnsi" w:cstheme="minorHAnsi"/>
        </w:rPr>
        <w:t>A third option includes revenues from local advertisement sales. This could include ad space inside the vehicles, on benches or shelters at stops, or through targeted push notifications on smart devices. (FTA Circular 9030.1E III-11)</w:t>
      </w:r>
    </w:p>
    <w:p w14:paraId="6130F4DD" w14:textId="77777777" w:rsidR="00885D10" w:rsidRPr="00885D10" w:rsidRDefault="00885D10" w:rsidP="00885D10">
      <w:pPr>
        <w:autoSpaceDE w:val="0"/>
        <w:autoSpaceDN w:val="0"/>
        <w:adjustRightInd w:val="0"/>
        <w:jc w:val="both"/>
        <w:rPr>
          <w:rFonts w:cstheme="minorHAnsi"/>
          <w:i/>
          <w:sz w:val="22"/>
        </w:rPr>
      </w:pPr>
    </w:p>
    <w:p w14:paraId="6130F4DE" w14:textId="77777777" w:rsidR="00885D10" w:rsidRPr="00D45CC9" w:rsidRDefault="00885D10" w:rsidP="00885D10">
      <w:pPr>
        <w:numPr>
          <w:ilvl w:val="1"/>
          <w:numId w:val="0"/>
        </w:numPr>
        <w:jc w:val="both"/>
        <w:rPr>
          <w:rStyle w:val="SubtleEmphasis"/>
        </w:rPr>
      </w:pPr>
      <w:r w:rsidRPr="00D45CC9">
        <w:rPr>
          <w:rStyle w:val="SubtleEmphasis"/>
        </w:rPr>
        <w:t xml:space="preserve">Tax Options </w:t>
      </w:r>
    </w:p>
    <w:p w14:paraId="6130F4DF" w14:textId="77777777" w:rsidR="00885D10" w:rsidRPr="00885D10" w:rsidRDefault="00885D10" w:rsidP="00885D10">
      <w:pPr>
        <w:jc w:val="both"/>
        <w:rPr>
          <w:rFonts w:asciiTheme="minorHAnsi" w:hAnsiTheme="minorHAnsi"/>
        </w:rPr>
      </w:pPr>
      <w:r w:rsidRPr="00885D10">
        <w:rPr>
          <w:rFonts w:asciiTheme="minorHAnsi" w:hAnsiTheme="minorHAnsi"/>
        </w:rPr>
        <w:t>Local funding for transit in Valdosta can, and should, come from a blend of diverse sources, one of which may be a local option sales tax. For the voters to approve an additional tax for transit, numerous governmental and non-governmental partners would have to work together to “make the case” to the voters on the importance and reasonableness for supporting transit investment in their community.</w:t>
      </w:r>
    </w:p>
    <w:p w14:paraId="6130F4E0" w14:textId="77777777" w:rsidR="00885D10" w:rsidRPr="00885D10" w:rsidRDefault="00885D10" w:rsidP="00885D10">
      <w:pPr>
        <w:jc w:val="both"/>
      </w:pPr>
    </w:p>
    <w:p w14:paraId="6130F4E1" w14:textId="77777777" w:rsidR="00885D10" w:rsidRPr="0029633E" w:rsidRDefault="00885D10" w:rsidP="00885D10">
      <w:pPr>
        <w:autoSpaceDE w:val="0"/>
        <w:autoSpaceDN w:val="0"/>
        <w:adjustRightInd w:val="0"/>
        <w:jc w:val="both"/>
        <w:rPr>
          <w:rFonts w:asciiTheme="minorHAnsi" w:eastAsiaTheme="minorHAnsi" w:hAnsiTheme="minorHAnsi" w:cstheme="minorHAnsi"/>
          <w:color w:val="auto"/>
          <w:szCs w:val="22"/>
        </w:rPr>
      </w:pPr>
      <w:r w:rsidRPr="0029633E">
        <w:rPr>
          <w:rFonts w:asciiTheme="minorHAnsi" w:eastAsiaTheme="minorHAnsi" w:hAnsiTheme="minorHAnsi" w:cstheme="minorHAnsi"/>
          <w:color w:val="auto"/>
          <w:szCs w:val="22"/>
        </w:rPr>
        <w:lastRenderedPageBreak/>
        <w:t xml:space="preserve">Lowndes County and its municipalities currently have a special purpose local option sales tax (SPLOST) in place that runs through December 31, 2019. Historically, the SPLOST in Lowndes County has provided revenues of approximately $20 million per year, and a portion of this funding has been used for various capital expenditures that have included transportation related projects. Because the SPLOST project list is approved in advance, there is no opportunity to fund a transit system through the current SPLOST. However, purchases of vehicles and other capital improvements for a transit system could be included on future SPLOST project lists. </w:t>
      </w:r>
    </w:p>
    <w:p w14:paraId="6130F4E2" w14:textId="77777777" w:rsidR="00885D10" w:rsidRPr="0029633E" w:rsidRDefault="00885D10" w:rsidP="00885D10">
      <w:pPr>
        <w:autoSpaceDE w:val="0"/>
        <w:autoSpaceDN w:val="0"/>
        <w:adjustRightInd w:val="0"/>
        <w:jc w:val="both"/>
        <w:rPr>
          <w:rFonts w:asciiTheme="minorHAnsi" w:eastAsiaTheme="minorHAnsi" w:hAnsiTheme="minorHAnsi" w:cstheme="minorHAnsi"/>
          <w:color w:val="auto"/>
          <w:szCs w:val="22"/>
        </w:rPr>
      </w:pPr>
    </w:p>
    <w:p w14:paraId="6130F4E3" w14:textId="637FBF96" w:rsidR="00885D10" w:rsidRPr="0029633E" w:rsidRDefault="00885D10" w:rsidP="00885D10">
      <w:pPr>
        <w:autoSpaceDE w:val="0"/>
        <w:autoSpaceDN w:val="0"/>
        <w:adjustRightInd w:val="0"/>
        <w:jc w:val="both"/>
        <w:rPr>
          <w:rFonts w:asciiTheme="minorHAnsi" w:eastAsiaTheme="minorHAnsi" w:hAnsiTheme="minorHAnsi" w:cstheme="minorHAnsi"/>
          <w:color w:val="auto"/>
          <w:szCs w:val="22"/>
        </w:rPr>
      </w:pPr>
      <w:r w:rsidRPr="0029633E">
        <w:rPr>
          <w:rFonts w:asciiTheme="minorHAnsi" w:eastAsiaTheme="minorHAnsi" w:hAnsiTheme="minorHAnsi" w:cstheme="minorHAnsi"/>
          <w:color w:val="auto"/>
          <w:szCs w:val="22"/>
        </w:rPr>
        <w:t xml:space="preserve">A regional or </w:t>
      </w:r>
      <w:r w:rsidR="00455B27">
        <w:rPr>
          <w:rFonts w:asciiTheme="minorHAnsi" w:eastAsiaTheme="minorHAnsi" w:hAnsiTheme="minorHAnsi" w:cstheme="minorHAnsi"/>
          <w:color w:val="auto"/>
          <w:szCs w:val="22"/>
        </w:rPr>
        <w:t>single county TSPLOST may</w:t>
      </w:r>
      <w:r w:rsidRPr="0029633E">
        <w:rPr>
          <w:rFonts w:asciiTheme="minorHAnsi" w:eastAsiaTheme="minorHAnsi" w:hAnsiTheme="minorHAnsi" w:cstheme="minorHAnsi"/>
          <w:color w:val="auto"/>
          <w:szCs w:val="22"/>
        </w:rPr>
        <w:t xml:space="preserve"> provide an additional source of revenue. Anticipated revenues from a TSPLOST would vary greatly depending on the amount of tax (i.e., halfpenny versus full‐penny) approved by the voters, and the type of approved projects they would fund. Unlike the SPLOST, aside from a small portion remitted to the state as an administration fee, all revenues from a TSPLOST must be spent on transportation projects. Should a TSPLOST referendum be placed on the ballot and approved by voters, this funding source has the potential to meet capital needs as well as provide a local operating match each year for transit services.</w:t>
      </w:r>
    </w:p>
    <w:p w14:paraId="6130F4E4" w14:textId="77777777" w:rsidR="00885D10" w:rsidRPr="00885D10" w:rsidRDefault="00885D10" w:rsidP="00885D10">
      <w:pPr>
        <w:numPr>
          <w:ilvl w:val="1"/>
          <w:numId w:val="0"/>
        </w:numPr>
        <w:jc w:val="both"/>
        <w:rPr>
          <w:rFonts w:asciiTheme="minorHAnsi" w:eastAsiaTheme="majorEastAsia" w:hAnsiTheme="minorHAnsi" w:cstheme="minorHAnsi"/>
          <w:i/>
          <w:iCs/>
          <w:color w:val="4F81BD" w:themeColor="accent1"/>
          <w:spacing w:val="15"/>
          <w:sz w:val="22"/>
        </w:rPr>
      </w:pPr>
    </w:p>
    <w:p w14:paraId="6130F4E5" w14:textId="00AC8DC1" w:rsidR="00885D10" w:rsidRPr="00D45CC9" w:rsidRDefault="00667733" w:rsidP="00667733">
      <w:pPr>
        <w:pStyle w:val="Heading2"/>
        <w:rPr>
          <w:highlight w:val="yellow"/>
        </w:rPr>
      </w:pPr>
      <w:r>
        <w:t>Technology and Ridesourcing</w:t>
      </w:r>
    </w:p>
    <w:p w14:paraId="6130F4E6" w14:textId="77777777" w:rsidR="00885D10" w:rsidRPr="00885D10" w:rsidRDefault="00885D10" w:rsidP="00885D10">
      <w:pPr>
        <w:jc w:val="both"/>
        <w:rPr>
          <w:rFonts w:asciiTheme="minorHAnsi" w:hAnsiTheme="minorHAnsi"/>
        </w:rPr>
      </w:pPr>
    </w:p>
    <w:p w14:paraId="6130F4E7" w14:textId="5730EE35" w:rsidR="00885D10" w:rsidRDefault="00885D10" w:rsidP="00885D10">
      <w:pPr>
        <w:jc w:val="both"/>
        <w:rPr>
          <w:rFonts w:asciiTheme="minorHAnsi" w:hAnsiTheme="minorHAnsi"/>
        </w:rPr>
      </w:pPr>
      <w:r w:rsidRPr="00885D10">
        <w:rPr>
          <w:rFonts w:asciiTheme="minorHAnsi" w:hAnsiTheme="minorHAnsi"/>
        </w:rPr>
        <w:t>As technology has advanced, it has also impacted how individuals think about transportation and mobility. These technological advances have led to the creation of “ridesourcing” companies, where individuals can request a ride from their smart device, and another individual can provide the ride for a small fee. The ridesourcing aspect that is part of the recommended transit implementation plan not only is appealing and innovative, but also is critical to the prospects of successful transit implementation in Valdosta. Thus, it may be possible for a Third Party Operator (TPO), such as MIDS Transportation, Tipsy Tr</w:t>
      </w:r>
      <w:r w:rsidR="004F6A9E">
        <w:rPr>
          <w:rFonts w:asciiTheme="minorHAnsi" w:hAnsiTheme="minorHAnsi"/>
        </w:rPr>
        <w:t>ansit, Uber, 244-Taxi, or other private transportation companies</w:t>
      </w:r>
      <w:r w:rsidRPr="00885D10">
        <w:rPr>
          <w:rFonts w:asciiTheme="minorHAnsi" w:hAnsiTheme="minorHAnsi"/>
        </w:rPr>
        <w:t>, to add a ridesourcing feature to their family of transportation services.</w:t>
      </w:r>
    </w:p>
    <w:p w14:paraId="45A3BDDF" w14:textId="61E347BD" w:rsidR="00A71A97" w:rsidRDefault="00A71A97" w:rsidP="00885D10">
      <w:pPr>
        <w:jc w:val="both"/>
        <w:rPr>
          <w:rFonts w:asciiTheme="minorHAnsi" w:hAnsiTheme="minorHAnsi"/>
        </w:rPr>
      </w:pPr>
    </w:p>
    <w:p w14:paraId="66BFA9D5" w14:textId="608C2A6E" w:rsidR="00A71A97" w:rsidRPr="00885D10" w:rsidRDefault="00A71A97" w:rsidP="00885D10">
      <w:pPr>
        <w:jc w:val="both"/>
        <w:rPr>
          <w:rFonts w:asciiTheme="minorHAnsi" w:hAnsiTheme="minorHAnsi"/>
        </w:rPr>
      </w:pPr>
      <w:r>
        <w:rPr>
          <w:rFonts w:asciiTheme="minorHAnsi" w:hAnsiTheme="minorHAnsi"/>
        </w:rPr>
        <w:t>Some cities are using a blended fixed-route/ridesourcing system to meet their transit needs. Citizens can hail a ride through an application, and then see options for any fixed route locations nearby</w:t>
      </w:r>
      <w:r w:rsidR="00667733">
        <w:rPr>
          <w:rFonts w:asciiTheme="minorHAnsi" w:hAnsiTheme="minorHAnsi"/>
        </w:rPr>
        <w:t>, or</w:t>
      </w:r>
      <w:r w:rsidR="004F6A9E">
        <w:rPr>
          <w:rFonts w:asciiTheme="minorHAnsi" w:hAnsiTheme="minorHAnsi"/>
        </w:rPr>
        <w:t xml:space="preserve"> choose to</w:t>
      </w:r>
      <w:r w:rsidR="00667733">
        <w:rPr>
          <w:rFonts w:asciiTheme="minorHAnsi" w:hAnsiTheme="minorHAnsi"/>
        </w:rPr>
        <w:t xml:space="preserve"> continue with the hailed ride</w:t>
      </w:r>
      <w:r>
        <w:rPr>
          <w:rFonts w:asciiTheme="minorHAnsi" w:hAnsiTheme="minorHAnsi"/>
        </w:rPr>
        <w:t>. The</w:t>
      </w:r>
      <w:r w:rsidR="00667733">
        <w:rPr>
          <w:rFonts w:asciiTheme="minorHAnsi" w:hAnsiTheme="minorHAnsi"/>
        </w:rPr>
        <w:t>se</w:t>
      </w:r>
      <w:r>
        <w:rPr>
          <w:rFonts w:asciiTheme="minorHAnsi" w:hAnsiTheme="minorHAnsi"/>
        </w:rPr>
        <w:t xml:space="preserve"> </w:t>
      </w:r>
      <w:r w:rsidR="00667733">
        <w:rPr>
          <w:rFonts w:asciiTheme="minorHAnsi" w:hAnsiTheme="minorHAnsi"/>
        </w:rPr>
        <w:t xml:space="preserve">preset </w:t>
      </w:r>
      <w:r>
        <w:rPr>
          <w:rFonts w:asciiTheme="minorHAnsi" w:hAnsiTheme="minorHAnsi"/>
        </w:rPr>
        <w:t>fixed route service</w:t>
      </w:r>
      <w:r w:rsidR="00667733">
        <w:rPr>
          <w:rFonts w:asciiTheme="minorHAnsi" w:hAnsiTheme="minorHAnsi"/>
        </w:rPr>
        <w:t>s</w:t>
      </w:r>
      <w:r>
        <w:rPr>
          <w:rFonts w:asciiTheme="minorHAnsi" w:hAnsiTheme="minorHAnsi"/>
        </w:rPr>
        <w:t xml:space="preserve"> </w:t>
      </w:r>
      <w:r w:rsidR="00667733">
        <w:rPr>
          <w:rFonts w:asciiTheme="minorHAnsi" w:hAnsiTheme="minorHAnsi"/>
        </w:rPr>
        <w:t>are</w:t>
      </w:r>
      <w:r>
        <w:rPr>
          <w:rFonts w:asciiTheme="minorHAnsi" w:hAnsiTheme="minorHAnsi"/>
        </w:rPr>
        <w:t xml:space="preserve"> offered in the mornings and evenings to help citizens commute to work, with a fixed price according to time and distance. </w:t>
      </w:r>
      <w:r w:rsidR="00667733">
        <w:rPr>
          <w:rFonts w:asciiTheme="minorHAnsi" w:hAnsiTheme="minorHAnsi"/>
        </w:rPr>
        <w:t>Citizens may even elect to hail a ride to a fixed route pickup point, depending on their location.</w:t>
      </w:r>
    </w:p>
    <w:p w14:paraId="6130F4E8" w14:textId="77777777" w:rsidR="00885D10" w:rsidRPr="00885D10" w:rsidRDefault="00885D10" w:rsidP="00885D10">
      <w:pPr>
        <w:jc w:val="both"/>
        <w:rPr>
          <w:rFonts w:asciiTheme="minorHAnsi" w:hAnsiTheme="minorHAnsi"/>
        </w:rPr>
      </w:pPr>
    </w:p>
    <w:p w14:paraId="6130F4E9" w14:textId="77777777" w:rsidR="00885D10" w:rsidRPr="00885D10" w:rsidRDefault="00885D10" w:rsidP="00885D10">
      <w:pPr>
        <w:jc w:val="both"/>
        <w:rPr>
          <w:rFonts w:asciiTheme="minorHAnsi" w:hAnsiTheme="minorHAnsi" w:cstheme="minorHAnsi"/>
        </w:rPr>
      </w:pPr>
      <w:r w:rsidRPr="00885D10">
        <w:rPr>
          <w:rFonts w:asciiTheme="minorHAnsi" w:hAnsiTheme="minorHAnsi" w:cstheme="minorHAnsi"/>
        </w:rPr>
        <w:t>These ridesourcing options might appeal to the approximately 20,000 residents who live within the urbanized area that are outside the Valdosta City limits. This includes residents in Hahira, Remerton, Moody A.F.B., and several unincorporated areas of Lowndes County. While the majority of these locations are outside the geographical area of the proposed fixed routes, they should still be considered when evaluating the ridesourcing and demand response type trips.</w:t>
      </w:r>
    </w:p>
    <w:p w14:paraId="6130F4EA" w14:textId="77777777" w:rsidR="00885D10" w:rsidRPr="00885D10" w:rsidRDefault="00885D10" w:rsidP="00885D10">
      <w:pPr>
        <w:jc w:val="both"/>
        <w:rPr>
          <w:rFonts w:asciiTheme="minorHAnsi" w:hAnsiTheme="minorHAnsi"/>
        </w:rPr>
      </w:pPr>
    </w:p>
    <w:p w14:paraId="6130F4EF" w14:textId="77777777" w:rsidR="00885D10" w:rsidRPr="00885D10" w:rsidRDefault="00885D10" w:rsidP="00D45CC9">
      <w:pPr>
        <w:pStyle w:val="Heading2"/>
      </w:pPr>
      <w:bookmarkStart w:id="11" w:name="_Toc477860557"/>
      <w:r w:rsidRPr="00885D10">
        <w:lastRenderedPageBreak/>
        <w:t>Conclusions</w:t>
      </w:r>
      <w:bookmarkEnd w:id="11"/>
    </w:p>
    <w:p w14:paraId="6130F4F0" w14:textId="77777777" w:rsidR="00885D10" w:rsidRPr="00885D10" w:rsidRDefault="00885D10" w:rsidP="00885D10"/>
    <w:p w14:paraId="6130F4F1" w14:textId="15BFADBA" w:rsidR="00885D10" w:rsidRPr="00885D10" w:rsidRDefault="00885D10" w:rsidP="00885D10">
      <w:pPr>
        <w:jc w:val="both"/>
        <w:rPr>
          <w:rFonts w:asciiTheme="minorHAnsi" w:hAnsiTheme="minorHAnsi"/>
        </w:rPr>
      </w:pPr>
      <w:r w:rsidRPr="00885D10">
        <w:rPr>
          <w:rFonts w:asciiTheme="minorHAnsi" w:hAnsiTheme="minorHAnsi"/>
        </w:rPr>
        <w:t xml:space="preserve">Aside from Valdosta State University’s on-campus bus service, Valdosta has not had fixed-route public transit since 1963, when a locally owned, private-sector bus company ceased its transit operations. To begin exploring the feasibility of restoring fixed-route transit to Valdosta, </w:t>
      </w:r>
      <w:r w:rsidR="004F6A9E">
        <w:rPr>
          <w:rFonts w:asciiTheme="minorHAnsi" w:hAnsiTheme="minorHAnsi"/>
        </w:rPr>
        <w:t xml:space="preserve">the </w:t>
      </w:r>
      <w:r w:rsidRPr="00885D10">
        <w:rPr>
          <w:rFonts w:asciiTheme="minorHAnsi" w:hAnsiTheme="minorHAnsi"/>
        </w:rPr>
        <w:t xml:space="preserve">SGRC launched a “pilot shuttle” service in October </w:t>
      </w:r>
      <w:r w:rsidR="004F6A9E">
        <w:rPr>
          <w:rFonts w:asciiTheme="minorHAnsi" w:hAnsiTheme="minorHAnsi"/>
        </w:rPr>
        <w:t xml:space="preserve">of </w:t>
      </w:r>
      <w:r w:rsidRPr="00885D10">
        <w:rPr>
          <w:rFonts w:asciiTheme="minorHAnsi" w:hAnsiTheme="minorHAnsi"/>
        </w:rPr>
        <w:t xml:space="preserve">2015. Even though </w:t>
      </w:r>
      <w:r w:rsidR="007D42B4">
        <w:rPr>
          <w:rFonts w:asciiTheme="minorHAnsi" w:hAnsiTheme="minorHAnsi"/>
        </w:rPr>
        <w:t>the Pilot Shuttle</w:t>
      </w:r>
      <w:r w:rsidRPr="00885D10">
        <w:rPr>
          <w:rFonts w:asciiTheme="minorHAnsi" w:hAnsiTheme="minorHAnsi"/>
        </w:rPr>
        <w:t xml:space="preserve"> was limited to one vehicle running a single loop on 90-minute headways, its ridership </w:t>
      </w:r>
      <w:r w:rsidR="004F6A9E">
        <w:rPr>
          <w:rFonts w:asciiTheme="minorHAnsi" w:hAnsiTheme="minorHAnsi"/>
        </w:rPr>
        <w:t>grew</w:t>
      </w:r>
      <w:r w:rsidRPr="00885D10">
        <w:rPr>
          <w:rFonts w:asciiTheme="minorHAnsi" w:hAnsiTheme="minorHAnsi"/>
        </w:rPr>
        <w:t xml:space="preserve"> steadily, and indeed has helped illustrate the viability of transit in Valdosta.</w:t>
      </w:r>
    </w:p>
    <w:p w14:paraId="6130F4F2" w14:textId="77777777" w:rsidR="00885D10" w:rsidRPr="00885D10" w:rsidRDefault="00885D10" w:rsidP="00885D10">
      <w:pPr>
        <w:jc w:val="both"/>
        <w:rPr>
          <w:rFonts w:asciiTheme="minorHAnsi" w:hAnsiTheme="minorHAnsi"/>
        </w:rPr>
      </w:pPr>
    </w:p>
    <w:p w14:paraId="6130F4F3" w14:textId="77777777" w:rsidR="00885D10" w:rsidRPr="00885D10" w:rsidRDefault="00C2265B" w:rsidP="00885D10">
      <w:pPr>
        <w:jc w:val="both"/>
        <w:rPr>
          <w:rFonts w:asciiTheme="minorHAnsi" w:hAnsiTheme="minorHAnsi"/>
        </w:rPr>
      </w:pPr>
      <w:r>
        <w:rPr>
          <w:rFonts w:asciiTheme="minorHAnsi" w:hAnsiTheme="minorHAnsi"/>
        </w:rPr>
        <w:t>With respect to commuting, it is</w:t>
      </w:r>
      <w:r w:rsidR="00885D10" w:rsidRPr="00885D10">
        <w:rPr>
          <w:rFonts w:asciiTheme="minorHAnsi" w:hAnsiTheme="minorHAnsi"/>
        </w:rPr>
        <w:t xml:space="preserve"> worth noting that several of Valdosta’s larger employers have high concentrations of employees at a single site. Moody Air Force Base, South Georgia Medical Center, Fresh Beginnings/eLead1, and Valdosta State University account for 33% of all Lowndes County workers. These popular locations represent ideal transit destinations for an urban system.</w:t>
      </w:r>
    </w:p>
    <w:p w14:paraId="6130F4F4" w14:textId="77777777" w:rsidR="00885D10" w:rsidRPr="00885D10" w:rsidRDefault="00885D10" w:rsidP="00885D10">
      <w:pPr>
        <w:jc w:val="both"/>
        <w:rPr>
          <w:rFonts w:asciiTheme="minorHAnsi" w:hAnsiTheme="minorHAnsi"/>
        </w:rPr>
      </w:pPr>
    </w:p>
    <w:p w14:paraId="6130F4F5" w14:textId="32C885AE" w:rsidR="00885D10" w:rsidRPr="00885D10" w:rsidRDefault="00885D10" w:rsidP="0029633E">
      <w:pPr>
        <w:jc w:val="both"/>
        <w:rPr>
          <w:rFonts w:asciiTheme="minorHAnsi" w:hAnsiTheme="minorHAnsi"/>
        </w:rPr>
      </w:pPr>
      <w:r w:rsidRPr="00885D10">
        <w:rPr>
          <w:rFonts w:asciiTheme="minorHAnsi" w:hAnsiTheme="minorHAnsi"/>
        </w:rPr>
        <w:t>Transit can also connect Valdosta residents with jobs and economic activity. As the experience with the pilot shuttle indicated, the opportunity for transit to be the linkage to employment is especially true for lower-</w:t>
      </w:r>
      <w:r w:rsidR="004F6A9E">
        <w:rPr>
          <w:rFonts w:asciiTheme="minorHAnsi" w:hAnsiTheme="minorHAnsi"/>
        </w:rPr>
        <w:t xml:space="preserve">wage workers and for adults who have </w:t>
      </w:r>
      <w:r w:rsidRPr="00885D10">
        <w:rPr>
          <w:rFonts w:asciiTheme="minorHAnsi" w:hAnsiTheme="minorHAnsi"/>
        </w:rPr>
        <w:t>not been able to maintain a steady work history in the absence of transit. The presumably modest investment that local governments might have to make in supporting transit that links otherwise-unemployed individuals to their jobs is far less than the cost of providing housing and supportive services to adults whose lack of transportation is the p</w:t>
      </w:r>
      <w:r w:rsidR="004F6A9E">
        <w:rPr>
          <w:rFonts w:asciiTheme="minorHAnsi" w:hAnsiTheme="minorHAnsi"/>
        </w:rPr>
        <w:t>rimary reason they a</w:t>
      </w:r>
      <w:r w:rsidRPr="00885D10">
        <w:rPr>
          <w:rFonts w:asciiTheme="minorHAnsi" w:hAnsiTheme="minorHAnsi"/>
        </w:rPr>
        <w:t>re not in the workforce.</w:t>
      </w:r>
    </w:p>
    <w:p w14:paraId="6130F4F6" w14:textId="77777777" w:rsidR="00885D10" w:rsidRPr="00885D10" w:rsidRDefault="00885D10" w:rsidP="00885D10">
      <w:pPr>
        <w:jc w:val="both"/>
        <w:rPr>
          <w:rFonts w:asciiTheme="minorHAnsi" w:hAnsiTheme="minorHAnsi"/>
        </w:rPr>
      </w:pPr>
    </w:p>
    <w:p w14:paraId="6130F4F7" w14:textId="77777777" w:rsidR="00885D10" w:rsidRPr="00885D10" w:rsidRDefault="00885D10" w:rsidP="00885D10">
      <w:pPr>
        <w:jc w:val="both"/>
        <w:rPr>
          <w:rFonts w:asciiTheme="minorHAnsi" w:hAnsiTheme="minorHAnsi"/>
        </w:rPr>
      </w:pPr>
      <w:r w:rsidRPr="00885D10">
        <w:rPr>
          <w:rFonts w:asciiTheme="minorHAnsi" w:hAnsiTheme="minorHAnsi"/>
        </w:rPr>
        <w:t>Transit can provide valuable mobility to others in Valdosta, in addition to workers. For instance, many in the Valdosta State University community</w:t>
      </w:r>
      <w:r w:rsidR="00C2265B">
        <w:rPr>
          <w:rFonts w:asciiTheme="minorHAnsi" w:hAnsiTheme="minorHAnsi"/>
        </w:rPr>
        <w:t xml:space="preserve"> do not have, or cannot</w:t>
      </w:r>
      <w:r w:rsidRPr="00885D10">
        <w:rPr>
          <w:rFonts w:asciiTheme="minorHAnsi" w:hAnsiTheme="minorHAnsi"/>
        </w:rPr>
        <w:t xml:space="preserve"> afford to use, a personal vehicle. While the VSU shuttle service provides a high level of service on campus, its off-campus connections are limited, even though many students live off-campus. People who live in households without a personal vehicle are another key audience whose lives are much improved by the availability of transit.</w:t>
      </w:r>
    </w:p>
    <w:p w14:paraId="6130F4F8" w14:textId="77777777" w:rsidR="00885D10" w:rsidRPr="00885D10" w:rsidRDefault="00885D10" w:rsidP="00885D10">
      <w:pPr>
        <w:jc w:val="both"/>
        <w:rPr>
          <w:rFonts w:asciiTheme="minorHAnsi" w:hAnsiTheme="minorHAnsi"/>
        </w:rPr>
      </w:pPr>
    </w:p>
    <w:p w14:paraId="6130F4F9" w14:textId="77777777" w:rsidR="00885D10" w:rsidRPr="00885D10" w:rsidRDefault="00885D10" w:rsidP="00885D10">
      <w:pPr>
        <w:jc w:val="both"/>
        <w:rPr>
          <w:rFonts w:asciiTheme="minorHAnsi" w:hAnsiTheme="minorHAnsi"/>
        </w:rPr>
      </w:pPr>
      <w:r w:rsidRPr="00885D10">
        <w:rPr>
          <w:rFonts w:asciiTheme="minorHAnsi" w:hAnsiTheme="minorHAnsi"/>
        </w:rPr>
        <w:t xml:space="preserve">The priority of this transit service should be to see that individuals in Valdosta are able to access their jobs and improve their ability to live and shop independently in the area. In promoting the case for establishing an urban transit service in Valdosta, local officials and current transportation stakeholders should continue emphasizing the message that it would be building on the current demand-response transit service provided by Lowndes County, the fixed-route bus service provided on the VSU campus, and the successes of the pilot shuttle program to carry out the Common Community Vision of providing </w:t>
      </w:r>
      <w:r w:rsidRPr="00885D10">
        <w:rPr>
          <w:rFonts w:asciiTheme="minorHAnsi" w:hAnsiTheme="minorHAnsi" w:cstheme="minorHAnsi"/>
        </w:rPr>
        <w:t>regional connectivity to global economic opportunities through an efficient, safe, accessible, and affordable multi-modal transportation system</w:t>
      </w:r>
      <w:r w:rsidRPr="00885D10">
        <w:rPr>
          <w:rFonts w:asciiTheme="minorHAnsi" w:hAnsiTheme="minorHAnsi"/>
        </w:rPr>
        <w:t>.</w:t>
      </w:r>
    </w:p>
    <w:p w14:paraId="6130F4FA" w14:textId="77777777" w:rsidR="00885D10" w:rsidRPr="00885D10" w:rsidRDefault="00885D10" w:rsidP="00885D10">
      <w:pPr>
        <w:jc w:val="both"/>
        <w:rPr>
          <w:rFonts w:asciiTheme="minorHAnsi" w:hAnsiTheme="minorHAnsi"/>
        </w:rPr>
      </w:pPr>
    </w:p>
    <w:p w14:paraId="6130F4FB" w14:textId="77777777" w:rsidR="00885D10" w:rsidRPr="00885D10" w:rsidRDefault="00885D10" w:rsidP="00885D10">
      <w:pPr>
        <w:jc w:val="both"/>
        <w:rPr>
          <w:rFonts w:asciiTheme="minorHAnsi" w:hAnsiTheme="minorHAnsi"/>
        </w:rPr>
      </w:pPr>
    </w:p>
    <w:p w14:paraId="6130F4FC" w14:textId="77777777" w:rsidR="00885D10" w:rsidRPr="00885D10" w:rsidRDefault="00885D10" w:rsidP="00885D10">
      <w:pPr>
        <w:autoSpaceDE w:val="0"/>
        <w:autoSpaceDN w:val="0"/>
        <w:adjustRightInd w:val="0"/>
        <w:jc w:val="both"/>
        <w:rPr>
          <w:rFonts w:asciiTheme="minorHAnsi" w:hAnsiTheme="minorHAnsi" w:cstheme="minorHAnsi"/>
          <w:sz w:val="20"/>
        </w:rPr>
        <w:sectPr w:rsidR="00885D10" w:rsidRPr="00885D10" w:rsidSect="00885D10">
          <w:pgSz w:w="12240" w:h="15840"/>
          <w:pgMar w:top="1440" w:right="1440" w:bottom="1440" w:left="1440" w:header="720" w:footer="720" w:gutter="0"/>
          <w:cols w:space="720"/>
          <w:docGrid w:linePitch="360"/>
        </w:sectPr>
      </w:pPr>
    </w:p>
    <w:p w14:paraId="6130F4FD" w14:textId="77777777" w:rsidR="00891D22" w:rsidRDefault="00891D22" w:rsidP="00F20795">
      <w:pPr>
        <w:pStyle w:val="Heading1"/>
      </w:pPr>
      <w:bookmarkStart w:id="12" w:name="_Toc477860558"/>
      <w:r w:rsidRPr="00891D22">
        <w:lastRenderedPageBreak/>
        <w:t>References</w:t>
      </w:r>
      <w:r>
        <w:t>:</w:t>
      </w:r>
      <w:bookmarkEnd w:id="12"/>
    </w:p>
    <w:p w14:paraId="6130F4FE" w14:textId="77777777" w:rsidR="00606BF7" w:rsidRPr="00606BF7" w:rsidRDefault="00606BF7" w:rsidP="00606BF7"/>
    <w:p w14:paraId="6130F4FF" w14:textId="77777777" w:rsidR="00606BF7" w:rsidRDefault="00606BF7">
      <w:pPr>
        <w:rPr>
          <w:rFonts w:asciiTheme="minorHAnsi" w:hAnsiTheme="minorHAnsi"/>
        </w:rPr>
      </w:pPr>
      <w:r>
        <w:rPr>
          <w:rFonts w:asciiTheme="minorHAnsi" w:hAnsiTheme="minorHAnsi"/>
        </w:rPr>
        <w:t xml:space="preserve">U.S. Department of Transportation Federal Transit Administration. (January 16, 2014). Circular 9030.1E. </w:t>
      </w:r>
      <w:r>
        <w:rPr>
          <w:rFonts w:asciiTheme="minorHAnsi" w:hAnsiTheme="minorHAnsi"/>
          <w:i/>
        </w:rPr>
        <w:t>Urbanized Area Formula Program: Program Guidance and Application Instructions</w:t>
      </w:r>
      <w:r>
        <w:rPr>
          <w:rFonts w:asciiTheme="minorHAnsi" w:hAnsiTheme="minorHAnsi"/>
        </w:rPr>
        <w:t>. Retrieved from www.transit.dot.gov/regulations-and-guidelines/fta-circulars/final-circulars</w:t>
      </w:r>
    </w:p>
    <w:p w14:paraId="6130F500" w14:textId="77777777" w:rsidR="00606BF7" w:rsidRDefault="00606BF7">
      <w:pPr>
        <w:rPr>
          <w:rFonts w:asciiTheme="minorHAnsi" w:hAnsiTheme="minorHAnsi"/>
        </w:rPr>
      </w:pPr>
    </w:p>
    <w:p w14:paraId="6130F501" w14:textId="77777777" w:rsidR="00891D22" w:rsidRDefault="00983C61">
      <w:pPr>
        <w:rPr>
          <w:rFonts w:asciiTheme="minorHAnsi" w:hAnsiTheme="minorHAnsi"/>
        </w:rPr>
      </w:pPr>
      <w:r>
        <w:rPr>
          <w:rFonts w:asciiTheme="minorHAnsi" w:hAnsiTheme="minorHAnsi"/>
        </w:rPr>
        <w:t>National Center for Transit Research. (</w:t>
      </w:r>
      <w:r w:rsidR="00606BF7">
        <w:rPr>
          <w:rFonts w:asciiTheme="minorHAnsi" w:hAnsiTheme="minorHAnsi"/>
        </w:rPr>
        <w:t xml:space="preserve">July, </w:t>
      </w:r>
      <w:r>
        <w:rPr>
          <w:rFonts w:asciiTheme="minorHAnsi" w:hAnsiTheme="minorHAnsi"/>
        </w:rPr>
        <w:t xml:space="preserve">2014). </w:t>
      </w:r>
      <w:r>
        <w:rPr>
          <w:rFonts w:asciiTheme="minorHAnsi" w:hAnsiTheme="minorHAnsi"/>
          <w:i/>
        </w:rPr>
        <w:t>Cost-Benefit Analysis of Rural and Small Urban Transit</w:t>
      </w:r>
      <w:r w:rsidR="00891D22">
        <w:rPr>
          <w:rFonts w:asciiTheme="minorHAnsi" w:hAnsiTheme="minorHAnsi"/>
          <w:i/>
        </w:rPr>
        <w:t>.</w:t>
      </w:r>
      <w:r w:rsidR="00891D22">
        <w:rPr>
          <w:rFonts w:asciiTheme="minorHAnsi" w:hAnsiTheme="minorHAnsi"/>
        </w:rPr>
        <w:t xml:space="preserve"> Retrieved from </w:t>
      </w:r>
      <w:hyperlink r:id="rId43" w:history="1">
        <w:r w:rsidR="00891D22" w:rsidRPr="00E96540">
          <w:rPr>
            <w:rStyle w:val="Hyperlink"/>
            <w:rFonts w:asciiTheme="minorHAnsi" w:hAnsiTheme="minorHAnsi"/>
          </w:rPr>
          <w:t>www.nctr.usf.edu</w:t>
        </w:r>
      </w:hyperlink>
      <w:r w:rsidR="00891D22">
        <w:rPr>
          <w:rFonts w:asciiTheme="minorHAnsi" w:hAnsiTheme="minorHAnsi"/>
        </w:rPr>
        <w:t xml:space="preserve"> database.</w:t>
      </w:r>
    </w:p>
    <w:p w14:paraId="6130F502" w14:textId="77777777" w:rsidR="00891D22" w:rsidRDefault="00891D22">
      <w:pPr>
        <w:rPr>
          <w:rFonts w:asciiTheme="minorHAnsi" w:hAnsiTheme="minorHAnsi"/>
        </w:rPr>
      </w:pPr>
    </w:p>
    <w:p w14:paraId="6130F503" w14:textId="77777777" w:rsidR="007867AC" w:rsidRDefault="00891D22">
      <w:pPr>
        <w:rPr>
          <w:rFonts w:asciiTheme="minorHAnsi" w:hAnsiTheme="minorHAnsi"/>
        </w:rPr>
      </w:pPr>
      <w:r>
        <w:rPr>
          <w:rFonts w:asciiTheme="minorHAnsi" w:hAnsiTheme="minorHAnsi"/>
        </w:rPr>
        <w:t xml:space="preserve">Tindale Oliver. (2016). </w:t>
      </w:r>
      <w:r>
        <w:rPr>
          <w:rFonts w:asciiTheme="minorHAnsi" w:hAnsiTheme="minorHAnsi"/>
          <w:i/>
        </w:rPr>
        <w:t>Valdosta Transit Implementation Study</w:t>
      </w:r>
      <w:r>
        <w:rPr>
          <w:rFonts w:asciiTheme="minorHAnsi" w:hAnsiTheme="minorHAnsi"/>
        </w:rPr>
        <w:t xml:space="preserve">. Valdosta, GA, 2016. </w:t>
      </w:r>
      <w:r w:rsidR="00582849" w:rsidRPr="00854619">
        <w:rPr>
          <w:rFonts w:asciiTheme="minorHAnsi" w:hAnsiTheme="minorHAnsi"/>
        </w:rPr>
        <w:tab/>
      </w:r>
    </w:p>
    <w:p w14:paraId="6130F504" w14:textId="77777777" w:rsidR="00F34579" w:rsidRDefault="00F34579">
      <w:pPr>
        <w:rPr>
          <w:rFonts w:asciiTheme="minorHAnsi" w:hAnsiTheme="minorHAnsi"/>
        </w:rPr>
      </w:pPr>
    </w:p>
    <w:p w14:paraId="6130F505" w14:textId="77777777" w:rsidR="008B399A" w:rsidRDefault="00F34579">
      <w:pPr>
        <w:rPr>
          <w:rFonts w:asciiTheme="minorHAnsi" w:hAnsiTheme="minorHAnsi"/>
        </w:rPr>
      </w:pPr>
      <w:r>
        <w:rPr>
          <w:rFonts w:asciiTheme="minorHAnsi" w:hAnsiTheme="minorHAnsi"/>
        </w:rPr>
        <w:t xml:space="preserve">Zeilinger, Chris. (2066). </w:t>
      </w:r>
      <w:r>
        <w:rPr>
          <w:rFonts w:asciiTheme="minorHAnsi" w:hAnsiTheme="minorHAnsi"/>
          <w:i/>
        </w:rPr>
        <w:t>Transit Implementation in Valdosta: CTAA Observations.</w:t>
      </w:r>
      <w:r w:rsidR="00D34A35">
        <w:rPr>
          <w:rFonts w:asciiTheme="minorHAnsi" w:hAnsiTheme="minorHAnsi"/>
        </w:rPr>
        <w:t xml:space="preserve"> Washington, DC, 2016</w:t>
      </w:r>
    </w:p>
    <w:p w14:paraId="6130F506" w14:textId="77777777" w:rsidR="004F40CB" w:rsidRDefault="004F40CB">
      <w:pPr>
        <w:rPr>
          <w:rFonts w:asciiTheme="minorHAnsi" w:hAnsiTheme="minorHAnsi"/>
        </w:rPr>
      </w:pPr>
    </w:p>
    <w:p w14:paraId="6130F507" w14:textId="77777777" w:rsidR="004F40CB" w:rsidRDefault="004F40CB">
      <w:pPr>
        <w:rPr>
          <w:rFonts w:asciiTheme="minorHAnsi" w:hAnsiTheme="minorHAnsi"/>
        </w:rPr>
      </w:pPr>
    </w:p>
    <w:p w14:paraId="6130F508" w14:textId="77777777" w:rsidR="004F40CB" w:rsidRDefault="004F40CB">
      <w:pPr>
        <w:rPr>
          <w:rFonts w:asciiTheme="minorHAnsi" w:hAnsiTheme="minorHAnsi"/>
        </w:rPr>
        <w:sectPr w:rsidR="004F40CB" w:rsidSect="004F40CB">
          <w:footerReference w:type="first" r:id="rId44"/>
          <w:pgSz w:w="12240" w:h="15840"/>
          <w:pgMar w:top="1440" w:right="1440" w:bottom="1440" w:left="1440" w:header="720" w:footer="720" w:gutter="0"/>
          <w:cols w:space="720"/>
          <w:titlePg/>
          <w:docGrid w:linePitch="360"/>
        </w:sectPr>
      </w:pPr>
    </w:p>
    <w:p w14:paraId="6130F509" w14:textId="77777777" w:rsidR="00152694" w:rsidRDefault="00152694" w:rsidP="00152694">
      <w:pPr>
        <w:pStyle w:val="Heading1"/>
      </w:pPr>
      <w:bookmarkStart w:id="13" w:name="_Toc477860559"/>
      <w:r>
        <w:lastRenderedPageBreak/>
        <w:t>Appendix A: Monthly Ridership Statistics</w:t>
      </w:r>
      <w:bookmarkEnd w:id="13"/>
    </w:p>
    <w:p w14:paraId="6130F50A" w14:textId="77777777" w:rsidR="004F40CB" w:rsidRDefault="004F40CB" w:rsidP="00F20795">
      <w:pPr>
        <w:pStyle w:val="Heading1"/>
      </w:pPr>
      <w:bookmarkStart w:id="14" w:name="_Toc477860107"/>
      <w:bookmarkStart w:id="15" w:name="_Toc477860560"/>
      <w:r w:rsidRPr="004F40CB">
        <w:rPr>
          <w:noProof/>
        </w:rPr>
        <w:drawing>
          <wp:inline distT="0" distB="0" distL="0" distR="0" wp14:anchorId="6130F5BE" wp14:editId="6130F5BF">
            <wp:extent cx="5867400" cy="38290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67400" cy="3829050"/>
                    </a:xfrm>
                    <a:prstGeom prst="rect">
                      <a:avLst/>
                    </a:prstGeom>
                    <a:noFill/>
                    <a:ln>
                      <a:noFill/>
                    </a:ln>
                  </pic:spPr>
                </pic:pic>
              </a:graphicData>
            </a:graphic>
          </wp:inline>
        </w:drawing>
      </w:r>
      <w:bookmarkEnd w:id="14"/>
      <w:bookmarkEnd w:id="15"/>
    </w:p>
    <w:p w14:paraId="6130F50B" w14:textId="77777777" w:rsidR="004F40CB" w:rsidRDefault="004F40CB" w:rsidP="004F40CB"/>
    <w:p w14:paraId="6130F50C" w14:textId="77777777" w:rsidR="004F40CB" w:rsidRDefault="004F40CB" w:rsidP="004F40CB">
      <w:r w:rsidRPr="004F40CB">
        <w:rPr>
          <w:noProof/>
        </w:rPr>
        <w:lastRenderedPageBreak/>
        <w:drawing>
          <wp:inline distT="0" distB="0" distL="0" distR="0" wp14:anchorId="6130F5C0" wp14:editId="6130F5C1">
            <wp:extent cx="5867400" cy="38290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67400" cy="3829050"/>
                    </a:xfrm>
                    <a:prstGeom prst="rect">
                      <a:avLst/>
                    </a:prstGeom>
                    <a:noFill/>
                    <a:ln>
                      <a:noFill/>
                    </a:ln>
                  </pic:spPr>
                </pic:pic>
              </a:graphicData>
            </a:graphic>
          </wp:inline>
        </w:drawing>
      </w:r>
    </w:p>
    <w:p w14:paraId="6130F50D" w14:textId="77777777" w:rsidR="00152694" w:rsidRDefault="00152694" w:rsidP="004F40CB"/>
    <w:p w14:paraId="6130F50E" w14:textId="77777777" w:rsidR="00152694" w:rsidRDefault="00152694" w:rsidP="004F40CB">
      <w:r w:rsidRPr="00152694">
        <w:rPr>
          <w:noProof/>
        </w:rPr>
        <w:drawing>
          <wp:inline distT="0" distB="0" distL="0" distR="0" wp14:anchorId="6130F5C2" wp14:editId="6130F5C3">
            <wp:extent cx="5868035" cy="420751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68035" cy="4207510"/>
                    </a:xfrm>
                    <a:prstGeom prst="rect">
                      <a:avLst/>
                    </a:prstGeom>
                    <a:noFill/>
                    <a:ln>
                      <a:noFill/>
                    </a:ln>
                  </pic:spPr>
                </pic:pic>
              </a:graphicData>
            </a:graphic>
          </wp:inline>
        </w:drawing>
      </w:r>
    </w:p>
    <w:p w14:paraId="6130F50F" w14:textId="77777777" w:rsidR="00152694" w:rsidRDefault="00152694" w:rsidP="004F40CB"/>
    <w:p w14:paraId="6130F510" w14:textId="77777777" w:rsidR="00152694" w:rsidRDefault="00152694" w:rsidP="004F40CB">
      <w:r w:rsidRPr="00152694">
        <w:rPr>
          <w:noProof/>
        </w:rPr>
        <w:drawing>
          <wp:inline distT="0" distB="0" distL="0" distR="0" wp14:anchorId="6130F5C4" wp14:editId="6130F5C5">
            <wp:extent cx="5864860" cy="383095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1" w14:textId="77777777" w:rsidR="00152694" w:rsidRDefault="00152694" w:rsidP="004F40CB"/>
    <w:p w14:paraId="6130F512" w14:textId="77777777" w:rsidR="00152694" w:rsidRDefault="00152694" w:rsidP="004F40CB">
      <w:r w:rsidRPr="00152694">
        <w:rPr>
          <w:noProof/>
        </w:rPr>
        <w:drawing>
          <wp:inline distT="0" distB="0" distL="0" distR="0" wp14:anchorId="6130F5C6" wp14:editId="6130F5C7">
            <wp:extent cx="5864860" cy="383095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3" w14:textId="77777777" w:rsidR="00152694" w:rsidRDefault="00152694" w:rsidP="004F40CB"/>
    <w:p w14:paraId="6130F514" w14:textId="77777777" w:rsidR="00152694" w:rsidRDefault="00152694" w:rsidP="004F40CB"/>
    <w:p w14:paraId="6130F515" w14:textId="77777777" w:rsidR="00152694" w:rsidRDefault="00152694" w:rsidP="004F40CB">
      <w:r w:rsidRPr="00152694">
        <w:rPr>
          <w:noProof/>
        </w:rPr>
        <w:drawing>
          <wp:inline distT="0" distB="0" distL="0" distR="0" wp14:anchorId="6130F5C8" wp14:editId="6130F5C9">
            <wp:extent cx="5864860" cy="38309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6" w14:textId="77777777" w:rsidR="00152694" w:rsidRDefault="00152694" w:rsidP="004F40CB"/>
    <w:p w14:paraId="6130F517" w14:textId="77777777" w:rsidR="00152694" w:rsidRDefault="00152694" w:rsidP="004F40CB">
      <w:r w:rsidRPr="00152694">
        <w:rPr>
          <w:noProof/>
        </w:rPr>
        <w:drawing>
          <wp:inline distT="0" distB="0" distL="0" distR="0" wp14:anchorId="6130F5CA" wp14:editId="6130F5CB">
            <wp:extent cx="5864860" cy="38309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8" w14:textId="77777777" w:rsidR="00152694" w:rsidRDefault="00152694" w:rsidP="004F40CB"/>
    <w:p w14:paraId="6130F519" w14:textId="77777777" w:rsidR="00152694" w:rsidRDefault="00152694" w:rsidP="004F40CB"/>
    <w:p w14:paraId="6130F51A" w14:textId="77777777" w:rsidR="00152694" w:rsidRDefault="00152694" w:rsidP="004F40CB">
      <w:r w:rsidRPr="00152694">
        <w:rPr>
          <w:noProof/>
        </w:rPr>
        <w:drawing>
          <wp:inline distT="0" distB="0" distL="0" distR="0" wp14:anchorId="6130F5CC" wp14:editId="6130F5CD">
            <wp:extent cx="5864860" cy="4051935"/>
            <wp:effectExtent l="0" t="0" r="254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64860" cy="4051935"/>
                    </a:xfrm>
                    <a:prstGeom prst="rect">
                      <a:avLst/>
                    </a:prstGeom>
                    <a:noFill/>
                    <a:ln>
                      <a:noFill/>
                    </a:ln>
                  </pic:spPr>
                </pic:pic>
              </a:graphicData>
            </a:graphic>
          </wp:inline>
        </w:drawing>
      </w:r>
    </w:p>
    <w:p w14:paraId="6130F51B" w14:textId="77777777" w:rsidR="00152694" w:rsidRDefault="00152694" w:rsidP="004F40CB">
      <w:r w:rsidRPr="00152694">
        <w:rPr>
          <w:noProof/>
        </w:rPr>
        <w:drawing>
          <wp:inline distT="0" distB="0" distL="0" distR="0" wp14:anchorId="6130F5CE" wp14:editId="6130F5CF">
            <wp:extent cx="5864860" cy="3830955"/>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C" w14:textId="77777777" w:rsidR="00152694" w:rsidRDefault="00152694" w:rsidP="004F40CB"/>
    <w:p w14:paraId="6130F51D" w14:textId="77777777" w:rsidR="00152694" w:rsidRDefault="00152694" w:rsidP="004F40CB">
      <w:r w:rsidRPr="00152694">
        <w:rPr>
          <w:noProof/>
        </w:rPr>
        <w:drawing>
          <wp:inline distT="0" distB="0" distL="0" distR="0" wp14:anchorId="6130F5D0" wp14:editId="6130F5D1">
            <wp:extent cx="5864860" cy="383095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1E" w14:textId="77777777" w:rsidR="00152694" w:rsidRDefault="00152694" w:rsidP="004F40CB"/>
    <w:p w14:paraId="6130F51F" w14:textId="77777777" w:rsidR="00152694" w:rsidRDefault="00152694" w:rsidP="004F40CB">
      <w:r w:rsidRPr="00152694">
        <w:rPr>
          <w:noProof/>
        </w:rPr>
        <w:drawing>
          <wp:inline distT="0" distB="0" distL="0" distR="0" wp14:anchorId="6130F5D2" wp14:editId="6130F5D3">
            <wp:extent cx="5864860" cy="383095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0" w14:textId="77777777" w:rsidR="00152694" w:rsidRDefault="00152694" w:rsidP="004F40CB"/>
    <w:p w14:paraId="6130F521" w14:textId="77777777" w:rsidR="00152694" w:rsidRDefault="00152694" w:rsidP="004F40CB"/>
    <w:p w14:paraId="6130F522" w14:textId="77777777" w:rsidR="00152694" w:rsidRDefault="00152694" w:rsidP="004F40CB">
      <w:r w:rsidRPr="00152694">
        <w:rPr>
          <w:noProof/>
        </w:rPr>
        <w:drawing>
          <wp:inline distT="0" distB="0" distL="0" distR="0" wp14:anchorId="6130F5D4" wp14:editId="6130F5D5">
            <wp:extent cx="5864860" cy="383095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3" w14:textId="77777777" w:rsidR="00152694" w:rsidRDefault="00152694" w:rsidP="004F40CB"/>
    <w:p w14:paraId="6130F524" w14:textId="77777777" w:rsidR="00152694" w:rsidRDefault="00152694" w:rsidP="004F40CB">
      <w:r w:rsidRPr="00152694">
        <w:rPr>
          <w:noProof/>
        </w:rPr>
        <w:drawing>
          <wp:inline distT="0" distB="0" distL="0" distR="0" wp14:anchorId="6130F5D6" wp14:editId="6130F5D7">
            <wp:extent cx="5864860" cy="38309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5" w14:textId="77777777" w:rsidR="00152694" w:rsidRDefault="00152694" w:rsidP="004F40CB"/>
    <w:p w14:paraId="6130F526" w14:textId="77777777" w:rsidR="00152694" w:rsidRDefault="00152694" w:rsidP="004F40CB"/>
    <w:p w14:paraId="6130F527" w14:textId="77777777" w:rsidR="00152694" w:rsidRDefault="00152694" w:rsidP="004F40CB">
      <w:r w:rsidRPr="00152694">
        <w:rPr>
          <w:noProof/>
        </w:rPr>
        <w:drawing>
          <wp:inline distT="0" distB="0" distL="0" distR="0" wp14:anchorId="6130F5D8" wp14:editId="6130F5D9">
            <wp:extent cx="5864860" cy="383095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8" w14:textId="77777777" w:rsidR="00152694" w:rsidRDefault="00152694" w:rsidP="004F40CB"/>
    <w:p w14:paraId="6130F529" w14:textId="77777777" w:rsidR="00152694" w:rsidRDefault="00152694" w:rsidP="004F40CB">
      <w:r w:rsidRPr="00152694">
        <w:rPr>
          <w:noProof/>
        </w:rPr>
        <w:drawing>
          <wp:inline distT="0" distB="0" distL="0" distR="0" wp14:anchorId="6130F5DA" wp14:editId="6130F5DB">
            <wp:extent cx="5864860" cy="383095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A" w14:textId="77777777" w:rsidR="00152694" w:rsidRDefault="00152694" w:rsidP="004F40CB"/>
    <w:p w14:paraId="6130F52B" w14:textId="77777777" w:rsidR="00152694" w:rsidRDefault="00152694" w:rsidP="004F40CB"/>
    <w:p w14:paraId="6130F52C" w14:textId="77777777" w:rsidR="00152694" w:rsidRDefault="00152694" w:rsidP="004F40CB">
      <w:r w:rsidRPr="00152694">
        <w:rPr>
          <w:noProof/>
        </w:rPr>
        <w:drawing>
          <wp:inline distT="0" distB="0" distL="0" distR="0" wp14:anchorId="6130F5DC" wp14:editId="6130F5DD">
            <wp:extent cx="5864860" cy="383095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D" w14:textId="77777777" w:rsidR="00152694" w:rsidRDefault="00152694" w:rsidP="004F40CB"/>
    <w:p w14:paraId="6130F52E" w14:textId="77777777" w:rsidR="00152694" w:rsidRPr="004F40CB" w:rsidRDefault="00152694" w:rsidP="004F40CB">
      <w:pPr>
        <w:sectPr w:rsidR="00152694" w:rsidRPr="004F40CB" w:rsidSect="004F40CB">
          <w:pgSz w:w="12240" w:h="15840"/>
          <w:pgMar w:top="1440" w:right="1440" w:bottom="1440" w:left="1440" w:header="720" w:footer="720" w:gutter="0"/>
          <w:cols w:space="720"/>
          <w:titlePg/>
          <w:docGrid w:linePitch="360"/>
        </w:sectPr>
      </w:pPr>
      <w:r w:rsidRPr="00152694">
        <w:rPr>
          <w:noProof/>
        </w:rPr>
        <w:drawing>
          <wp:inline distT="0" distB="0" distL="0" distR="0" wp14:anchorId="6130F5DE" wp14:editId="6130F5DF">
            <wp:extent cx="5864860" cy="383095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64860" cy="3830955"/>
                    </a:xfrm>
                    <a:prstGeom prst="rect">
                      <a:avLst/>
                    </a:prstGeom>
                    <a:noFill/>
                    <a:ln>
                      <a:noFill/>
                    </a:ln>
                  </pic:spPr>
                </pic:pic>
              </a:graphicData>
            </a:graphic>
          </wp:inline>
        </w:drawing>
      </w:r>
    </w:p>
    <w:p w14:paraId="6130F52F" w14:textId="77777777" w:rsidR="004104E8" w:rsidRDefault="004104E8" w:rsidP="00F20795">
      <w:pPr>
        <w:pStyle w:val="Heading1"/>
      </w:pPr>
      <w:bookmarkStart w:id="16" w:name="_Toc477860561"/>
      <w:r>
        <w:lastRenderedPageBreak/>
        <w:t>Appendix B: Transit Agency Profiles</w:t>
      </w:r>
      <w:bookmarkEnd w:id="16"/>
    </w:p>
    <w:p w14:paraId="6130F530" w14:textId="77777777" w:rsidR="004104E8" w:rsidRDefault="004104E8">
      <w:r>
        <w:rPr>
          <w:noProof/>
        </w:rPr>
        <w:drawing>
          <wp:inline distT="0" distB="0" distL="0" distR="0" wp14:anchorId="6130F5E0" wp14:editId="6130F5E1">
            <wp:extent cx="8056179" cy="5760085"/>
            <wp:effectExtent l="76200" t="76200" r="135890" b="126365"/>
            <wp:docPr id="310" name="Picture 310" descr="C:\Users\jdillard\Desktop\2014_Hineseville_Trans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dillard\Desktop\2014_Hineseville_Transit.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71094" cy="57707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0F531" w14:textId="77777777" w:rsidR="00EC772B" w:rsidRDefault="00EC772B">
      <w:r>
        <w:rPr>
          <w:noProof/>
        </w:rPr>
        <w:lastRenderedPageBreak/>
        <w:drawing>
          <wp:inline distT="0" distB="0" distL="0" distR="0" wp14:anchorId="6130F5E2" wp14:editId="6130F5E3">
            <wp:extent cx="8021152" cy="6238875"/>
            <wp:effectExtent l="76200" t="76200" r="132715" b="123825"/>
            <wp:docPr id="311" name="Picture 311" descr="C:\Users\jdillard\Desktop\Albany Transit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dillard\Desktop\Albany Transit 2014.jp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25779"/>
                    <a:stretch/>
                  </pic:blipFill>
                  <pic:spPr bwMode="auto">
                    <a:xfrm>
                      <a:off x="0" y="0"/>
                      <a:ext cx="8023019" cy="62403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30F532" w14:textId="77777777" w:rsidR="002E1B17" w:rsidRDefault="00F60E43">
      <w:pPr>
        <w:sectPr w:rsidR="002E1B17" w:rsidSect="004F40CB">
          <w:pgSz w:w="15840" w:h="12240" w:orient="landscape"/>
          <w:pgMar w:top="720" w:right="720" w:bottom="720" w:left="720" w:header="720" w:footer="720" w:gutter="0"/>
          <w:cols w:space="720"/>
          <w:titlePg/>
          <w:docGrid w:linePitch="360"/>
        </w:sectPr>
      </w:pPr>
      <w:r>
        <w:rPr>
          <w:noProof/>
        </w:rPr>
        <w:lastRenderedPageBreak/>
        <w:drawing>
          <wp:inline distT="0" distB="0" distL="0" distR="0" wp14:anchorId="6130F5E4" wp14:editId="6130F5E5">
            <wp:extent cx="8022866" cy="6671144"/>
            <wp:effectExtent l="76200" t="76200" r="130810" b="130175"/>
            <wp:docPr id="2" name="Picture 2" descr="C:\Users\jdillard\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illard\Desktop\Capture.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32286" cy="66789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0F533" w14:textId="77777777" w:rsidR="00D34A35" w:rsidRDefault="00D34A35"/>
    <w:p w14:paraId="6130F534" w14:textId="77777777" w:rsidR="002E1B17" w:rsidRPr="00885D10" w:rsidRDefault="002E1B17" w:rsidP="00E042CE">
      <w:pPr>
        <w:pStyle w:val="Heading1"/>
      </w:pPr>
      <w:bookmarkStart w:id="17" w:name="_Toc477860562"/>
      <w:r>
        <w:t xml:space="preserve">Appendix C: </w:t>
      </w:r>
      <w:r w:rsidR="004152FC">
        <w:t>Other U</w:t>
      </w:r>
      <w:r w:rsidRPr="00885D10">
        <w:t xml:space="preserve">ses of 5307 </w:t>
      </w:r>
      <w:r w:rsidR="004152FC">
        <w:t xml:space="preserve">Urban Transit </w:t>
      </w:r>
      <w:r w:rsidRPr="00885D10">
        <w:t>Funds</w:t>
      </w:r>
      <w:bookmarkEnd w:id="17"/>
    </w:p>
    <w:p w14:paraId="6130F535" w14:textId="77777777" w:rsidR="002E1B17" w:rsidRPr="00885D10" w:rsidRDefault="002E1B17" w:rsidP="002E1B17">
      <w:pPr>
        <w:jc w:val="both"/>
      </w:pPr>
    </w:p>
    <w:p w14:paraId="6130F536" w14:textId="77777777" w:rsidR="002E1B17" w:rsidRPr="00885D10" w:rsidRDefault="002E1B17" w:rsidP="002E1B17">
      <w:pPr>
        <w:jc w:val="both"/>
        <w:rPr>
          <w:rFonts w:asciiTheme="minorHAnsi" w:hAnsiTheme="minorHAnsi" w:cstheme="minorHAnsi"/>
          <w:szCs w:val="22"/>
        </w:rPr>
      </w:pPr>
      <w:r w:rsidRPr="00885D10">
        <w:rPr>
          <w:rFonts w:asciiTheme="minorHAnsi" w:hAnsiTheme="minorHAnsi" w:cstheme="minorHAnsi"/>
          <w:szCs w:val="22"/>
        </w:rPr>
        <w:t xml:space="preserve">FTA 5307 funds can also be applied to “associated transit improvements” which includes projects or project elements that are designed to enhance public transportation service or use and are physically or functionally related to public transportation facilities. This category of projects was formerly known as “transit enhancements.” </w:t>
      </w:r>
    </w:p>
    <w:p w14:paraId="6130F537" w14:textId="77777777" w:rsidR="002E1B17" w:rsidRPr="00885D10" w:rsidRDefault="002E1B17" w:rsidP="002E1B17">
      <w:pPr>
        <w:autoSpaceDE w:val="0"/>
        <w:autoSpaceDN w:val="0"/>
        <w:adjustRightInd w:val="0"/>
        <w:jc w:val="both"/>
        <w:rPr>
          <w:rFonts w:asciiTheme="minorHAnsi" w:eastAsiaTheme="minorHAnsi" w:hAnsiTheme="minorHAnsi" w:cstheme="minorHAnsi"/>
          <w:color w:val="000000"/>
          <w:szCs w:val="22"/>
        </w:rPr>
      </w:pPr>
    </w:p>
    <w:p w14:paraId="6130F538" w14:textId="77777777" w:rsidR="002E1B17" w:rsidRPr="00885D10" w:rsidRDefault="002E1B17" w:rsidP="002E1B17">
      <w:pPr>
        <w:autoSpaceDE w:val="0"/>
        <w:autoSpaceDN w:val="0"/>
        <w:adjustRightInd w:val="0"/>
        <w:ind w:left="72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(1) The following public transportation projects and project elements qualify as associated transit improvement projects: </w:t>
      </w:r>
    </w:p>
    <w:p w14:paraId="6130F539" w14:textId="77777777" w:rsidR="002E1B17" w:rsidRPr="00885D10" w:rsidRDefault="002E1B17" w:rsidP="002E1B17">
      <w:pPr>
        <w:autoSpaceDE w:val="0"/>
        <w:autoSpaceDN w:val="0"/>
        <w:adjustRightInd w:val="0"/>
        <w:jc w:val="both"/>
        <w:rPr>
          <w:rFonts w:asciiTheme="minorHAnsi" w:eastAsiaTheme="minorHAnsi" w:hAnsiTheme="minorHAnsi" w:cstheme="minorHAnsi"/>
          <w:color w:val="000000"/>
          <w:szCs w:val="22"/>
        </w:rPr>
      </w:pPr>
    </w:p>
    <w:p w14:paraId="6130F53A"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(a) Historic preservation, rehabilitation, and operation of historic public transportation buildings, structures, and facilities (including historic bus and railroad facilities) intended for use in public transportation service; </w:t>
      </w:r>
    </w:p>
    <w:p w14:paraId="6130F53B"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3C"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(b) Bus shelters; </w:t>
      </w:r>
    </w:p>
    <w:p w14:paraId="6130F53D"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3E"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(c) Landscaping and streetscaping, including benches, trash receptacles, and street lights; </w:t>
      </w:r>
    </w:p>
    <w:p w14:paraId="6130F53F"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40"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(d) Pedestrian access and walkways; </w:t>
      </w:r>
    </w:p>
    <w:p w14:paraId="6130F541"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42"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(e) Bicycle access, including bicycle storage facilities and installing equipment for transporting bicycles on public transportation vehicles; </w:t>
      </w:r>
    </w:p>
    <w:p w14:paraId="6130F543"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44"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(f) Signage; or </w:t>
      </w:r>
    </w:p>
    <w:p w14:paraId="6130F545"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p>
    <w:p w14:paraId="6130F546" w14:textId="77777777" w:rsidR="002E1B17" w:rsidRPr="00885D10" w:rsidRDefault="002E1B17" w:rsidP="002E1B17">
      <w:pPr>
        <w:autoSpaceDE w:val="0"/>
        <w:autoSpaceDN w:val="0"/>
        <w:adjustRightInd w:val="0"/>
        <w:ind w:left="144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 xml:space="preserve">(g) Enhanced access for people with disabilities to public transportation. Associated transit improvement projects or elements of projects designed to enhance access for people with disabilities are required to exceed the minimum requirements of the ADA. </w:t>
      </w:r>
    </w:p>
    <w:p w14:paraId="6130F547" w14:textId="77777777" w:rsidR="002E1B17" w:rsidRPr="00885D10" w:rsidRDefault="002E1B17" w:rsidP="002E1B17">
      <w:pPr>
        <w:autoSpaceDE w:val="0"/>
        <w:autoSpaceDN w:val="0"/>
        <w:adjustRightInd w:val="0"/>
        <w:jc w:val="both"/>
        <w:rPr>
          <w:rFonts w:asciiTheme="minorHAnsi" w:eastAsiaTheme="minorHAnsi" w:hAnsiTheme="minorHAnsi" w:cstheme="minorHAnsi"/>
          <w:color w:val="000000"/>
          <w:szCs w:val="22"/>
        </w:rPr>
      </w:pPr>
    </w:p>
    <w:p w14:paraId="6130F548" w14:textId="77777777" w:rsidR="002E1B17" w:rsidRPr="00885D10" w:rsidRDefault="002E1B17" w:rsidP="002E1B17">
      <w:pPr>
        <w:autoSpaceDE w:val="0"/>
        <w:autoSpaceDN w:val="0"/>
        <w:adjustRightInd w:val="0"/>
        <w:ind w:left="720"/>
        <w:jc w:val="both"/>
        <w:rPr>
          <w:rFonts w:asciiTheme="minorHAnsi" w:eastAsiaTheme="minorHAnsi" w:hAnsiTheme="minorHAnsi" w:cstheme="minorHAnsi"/>
          <w:color w:val="000000"/>
          <w:szCs w:val="22"/>
        </w:rPr>
      </w:pPr>
      <w:r w:rsidRPr="00885D10">
        <w:rPr>
          <w:rFonts w:asciiTheme="minorHAnsi" w:eastAsiaTheme="minorHAnsi" w:hAnsiTheme="minorHAnsi" w:cstheme="minorHAnsi"/>
          <w:color w:val="000000"/>
          <w:szCs w:val="22"/>
        </w:rPr>
        <w:t>(2) Bicycle and pedestrian paths within a certain distance from a transit stop or station are eligible capital projects and qualify as associated transit improvements. Pedestrian paths located within 0.5 miles of a transit stop or station and bicycle paths located within 3 miles of a transit stop or station are eligible capital projects. Projects outside this distance may be eligible if they are within the distance that a person could be expected to safely and conveniently walk or bicycle to the particular stop or station.</w:t>
      </w:r>
    </w:p>
    <w:p w14:paraId="6130F549" w14:textId="77777777" w:rsidR="00E042CE" w:rsidRDefault="00E042CE">
      <w:pPr>
        <w:spacing w:after="200" w:line="276" w:lineRule="auto"/>
        <w:rPr>
          <w:rFonts w:asciiTheme="majorHAnsi" w:eastAsiaTheme="majorEastAsia" w:hAnsiTheme="majorHAnsi" w:cstheme="majorBidi"/>
          <w:b/>
          <w:bCs/>
          <w:color w:val="365F91" w:themeColor="accent1" w:themeShade="BF"/>
          <w:sz w:val="28"/>
          <w:szCs w:val="28"/>
        </w:rPr>
      </w:pPr>
      <w:r>
        <w:br w:type="page"/>
      </w:r>
    </w:p>
    <w:p w14:paraId="6130F54A" w14:textId="77777777" w:rsidR="002E1B17" w:rsidRDefault="00E042CE" w:rsidP="002E1B17">
      <w:pPr>
        <w:pStyle w:val="Heading1"/>
      </w:pPr>
      <w:bookmarkStart w:id="18" w:name="_Toc477860563"/>
      <w:r>
        <w:lastRenderedPageBreak/>
        <w:t xml:space="preserve">Appendix D: </w:t>
      </w:r>
      <w:r w:rsidR="004F40CB">
        <w:t xml:space="preserve">Local </w:t>
      </w:r>
      <w:r>
        <w:t>Financial Obligation Breakdowns by Scenario</w:t>
      </w:r>
      <w:bookmarkEnd w:id="18"/>
    </w:p>
    <w:p w14:paraId="6130F54B" w14:textId="77777777" w:rsidR="00D45CC9" w:rsidRDefault="00D45CC9" w:rsidP="00D45CC9"/>
    <w:p w14:paraId="6130F54C" w14:textId="77777777" w:rsidR="00D45CC9" w:rsidRPr="00D45CC9" w:rsidRDefault="00D45CC9" w:rsidP="00D45CC9"/>
    <w:tbl>
      <w:tblPr>
        <w:tblW w:w="10720" w:type="dxa"/>
        <w:tblCellMar>
          <w:left w:w="0" w:type="dxa"/>
          <w:right w:w="0" w:type="dxa"/>
        </w:tblCellMar>
        <w:tblLook w:val="04A0" w:firstRow="1" w:lastRow="0" w:firstColumn="1" w:lastColumn="0" w:noHBand="0" w:noVBand="1"/>
      </w:tblPr>
      <w:tblGrid>
        <w:gridCol w:w="4380"/>
        <w:gridCol w:w="2680"/>
        <w:gridCol w:w="3660"/>
      </w:tblGrid>
      <w:tr w:rsidR="00D45CC9" w:rsidRPr="00D45CC9" w14:paraId="6130F550" w14:textId="77777777" w:rsidTr="00D45CC9">
        <w:trPr>
          <w:trHeight w:val="1586"/>
        </w:trPr>
        <w:tc>
          <w:tcPr>
            <w:tcW w:w="4380" w:type="dxa"/>
            <w:tcBorders>
              <w:top w:val="single" w:sz="8" w:space="0" w:color="FFFFFF"/>
              <w:left w:val="single" w:sz="8" w:space="0" w:color="FFFFFF"/>
              <w:bottom w:val="single" w:sz="24" w:space="0" w:color="FFFFFF"/>
              <w:right w:val="single" w:sz="8" w:space="0" w:color="FFFFFF"/>
            </w:tcBorders>
            <w:shd w:val="clear" w:color="auto" w:fill="99CB38"/>
            <w:tcMar>
              <w:top w:w="15" w:type="dxa"/>
              <w:left w:w="108" w:type="dxa"/>
              <w:bottom w:w="0" w:type="dxa"/>
              <w:right w:w="108" w:type="dxa"/>
            </w:tcMar>
            <w:hideMark/>
          </w:tcPr>
          <w:p w14:paraId="6130F54D" w14:textId="77777777" w:rsidR="00D45CC9" w:rsidRPr="00D45CC9" w:rsidRDefault="00D45CC9" w:rsidP="00D45CC9">
            <w:pPr>
              <w:rPr>
                <w:rFonts w:ascii="Times New Roman" w:eastAsia="Times New Roman" w:hAnsi="Times New Roman" w:cs="Times New Roman"/>
                <w:color w:val="auto"/>
                <w:sz w:val="20"/>
                <w:szCs w:val="20"/>
              </w:rPr>
            </w:pPr>
          </w:p>
        </w:tc>
        <w:tc>
          <w:tcPr>
            <w:tcW w:w="2680" w:type="dxa"/>
            <w:tcBorders>
              <w:top w:val="single" w:sz="8" w:space="0" w:color="FFFFFF"/>
              <w:left w:val="single" w:sz="8" w:space="0" w:color="FFFFFF"/>
              <w:bottom w:val="single" w:sz="24" w:space="0" w:color="FFFFFF"/>
              <w:right w:val="single" w:sz="8" w:space="0" w:color="FFFFFF"/>
            </w:tcBorders>
            <w:shd w:val="clear" w:color="auto" w:fill="99CB38"/>
            <w:tcMar>
              <w:top w:w="15" w:type="dxa"/>
              <w:left w:w="15" w:type="dxa"/>
              <w:bottom w:w="0" w:type="dxa"/>
              <w:right w:w="15" w:type="dxa"/>
            </w:tcMar>
            <w:vAlign w:val="bottom"/>
            <w:hideMark/>
          </w:tcPr>
          <w:p w14:paraId="6130F54E" w14:textId="77777777" w:rsidR="00D45CC9" w:rsidRPr="00D45CC9" w:rsidRDefault="00D45CC9" w:rsidP="00D45CC9">
            <w:pPr>
              <w:jc w:val="cente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 of Contract Eligible for 80% Federal Share</w:t>
            </w:r>
          </w:p>
        </w:tc>
        <w:tc>
          <w:tcPr>
            <w:tcW w:w="3660" w:type="dxa"/>
            <w:tcBorders>
              <w:top w:val="single" w:sz="8" w:space="0" w:color="FFFFFF"/>
              <w:left w:val="single" w:sz="8" w:space="0" w:color="FFFFFF"/>
              <w:bottom w:val="single" w:sz="24" w:space="0" w:color="FFFFFF"/>
              <w:right w:val="single" w:sz="8" w:space="0" w:color="FFFFFF"/>
            </w:tcBorders>
            <w:shd w:val="clear" w:color="auto" w:fill="99CB38"/>
            <w:tcMar>
              <w:top w:w="15" w:type="dxa"/>
              <w:left w:w="15" w:type="dxa"/>
              <w:bottom w:w="0" w:type="dxa"/>
              <w:right w:w="15" w:type="dxa"/>
            </w:tcMar>
            <w:vAlign w:val="bottom"/>
            <w:hideMark/>
          </w:tcPr>
          <w:p w14:paraId="6130F54F" w14:textId="77777777" w:rsidR="00D45CC9" w:rsidRPr="00D45CC9" w:rsidRDefault="00D45CC9" w:rsidP="00D45CC9">
            <w:pPr>
              <w:jc w:val="center"/>
              <w:textAlignment w:val="center"/>
              <w:rPr>
                <w:rFonts w:ascii="Arial" w:eastAsia="Times New Roman" w:hAnsi="Arial" w:cs="Arial"/>
                <w:color w:val="auto"/>
                <w:sz w:val="36"/>
                <w:szCs w:val="36"/>
              </w:rPr>
            </w:pPr>
            <w:r w:rsidRPr="00D45CC9">
              <w:rPr>
                <w:rFonts w:ascii="Calibri" w:eastAsia="Times New Roman" w:hAnsi="Calibri" w:cs="Calibri"/>
                <w:b/>
                <w:bCs/>
                <w:color w:val="auto"/>
                <w:kern w:val="24"/>
                <w:sz w:val="56"/>
                <w:szCs w:val="56"/>
              </w:rPr>
              <w:t>Local Totals</w:t>
            </w:r>
          </w:p>
        </w:tc>
      </w:tr>
      <w:tr w:rsidR="00D45CC9" w:rsidRPr="00D45CC9" w14:paraId="6130F554" w14:textId="77777777" w:rsidTr="00D45CC9">
        <w:trPr>
          <w:trHeight w:val="793"/>
        </w:trPr>
        <w:tc>
          <w:tcPr>
            <w:tcW w:w="4380" w:type="dxa"/>
            <w:tcBorders>
              <w:top w:val="single" w:sz="24"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51"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1</w:t>
            </w:r>
          </w:p>
        </w:tc>
        <w:tc>
          <w:tcPr>
            <w:tcW w:w="2680" w:type="dxa"/>
            <w:tcBorders>
              <w:top w:val="single" w:sz="24"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52"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40%</w:t>
            </w:r>
          </w:p>
        </w:tc>
        <w:tc>
          <w:tcPr>
            <w:tcW w:w="3660" w:type="dxa"/>
            <w:tcBorders>
              <w:top w:val="single" w:sz="24"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53"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364,868.00 </w:t>
            </w:r>
          </w:p>
        </w:tc>
      </w:tr>
      <w:tr w:rsidR="00D45CC9" w:rsidRPr="00D45CC9" w14:paraId="6130F558"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55"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2</w:t>
            </w:r>
          </w:p>
        </w:tc>
        <w:tc>
          <w:tcPr>
            <w:tcW w:w="268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56"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0%</w:t>
            </w:r>
          </w:p>
        </w:tc>
        <w:tc>
          <w:tcPr>
            <w:tcW w:w="366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57"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451,300.00 </w:t>
            </w:r>
          </w:p>
        </w:tc>
      </w:tr>
      <w:tr w:rsidR="00D45CC9" w:rsidRPr="00D45CC9" w14:paraId="6130F55C"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59"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3</w:t>
            </w:r>
          </w:p>
        </w:tc>
        <w:tc>
          <w:tcPr>
            <w:tcW w:w="268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5A"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100%</w:t>
            </w:r>
          </w:p>
        </w:tc>
        <w:tc>
          <w:tcPr>
            <w:tcW w:w="366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5B"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455,300.00 </w:t>
            </w:r>
          </w:p>
        </w:tc>
      </w:tr>
      <w:tr w:rsidR="00D45CC9" w:rsidRPr="00D45CC9" w14:paraId="6130F560"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5D"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4</w:t>
            </w:r>
          </w:p>
        </w:tc>
        <w:tc>
          <w:tcPr>
            <w:tcW w:w="268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5E"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100%</w:t>
            </w:r>
          </w:p>
        </w:tc>
        <w:tc>
          <w:tcPr>
            <w:tcW w:w="366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5F"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481,300.00 </w:t>
            </w:r>
          </w:p>
        </w:tc>
      </w:tr>
      <w:tr w:rsidR="00D45CC9" w:rsidRPr="00D45CC9" w14:paraId="6130F564"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61"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5</w:t>
            </w:r>
          </w:p>
        </w:tc>
        <w:tc>
          <w:tcPr>
            <w:tcW w:w="268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62"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100%</w:t>
            </w:r>
          </w:p>
        </w:tc>
        <w:tc>
          <w:tcPr>
            <w:tcW w:w="366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63"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485,300.00 </w:t>
            </w:r>
          </w:p>
        </w:tc>
      </w:tr>
      <w:tr w:rsidR="00D45CC9" w:rsidRPr="00D45CC9" w14:paraId="6130F568"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65"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6</w:t>
            </w:r>
          </w:p>
        </w:tc>
        <w:tc>
          <w:tcPr>
            <w:tcW w:w="268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66"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50%</w:t>
            </w:r>
          </w:p>
        </w:tc>
        <w:tc>
          <w:tcPr>
            <w:tcW w:w="366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67"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414,260.00 </w:t>
            </w:r>
          </w:p>
        </w:tc>
      </w:tr>
      <w:tr w:rsidR="00D45CC9" w:rsidRPr="00D45CC9" w14:paraId="6130F56C"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69"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7</w:t>
            </w:r>
          </w:p>
        </w:tc>
        <w:tc>
          <w:tcPr>
            <w:tcW w:w="268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6A"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10%</w:t>
            </w:r>
          </w:p>
        </w:tc>
        <w:tc>
          <w:tcPr>
            <w:tcW w:w="3660" w:type="dxa"/>
            <w:tcBorders>
              <w:top w:val="single" w:sz="8" w:space="0" w:color="FFFFFF"/>
              <w:left w:val="single" w:sz="8" w:space="0" w:color="FFFFFF"/>
              <w:bottom w:val="single" w:sz="8" w:space="0" w:color="FFFFFF"/>
              <w:right w:val="single" w:sz="8" w:space="0" w:color="FFFFFF"/>
            </w:tcBorders>
            <w:shd w:val="clear" w:color="auto" w:fill="DEECCE"/>
            <w:tcMar>
              <w:top w:w="15" w:type="dxa"/>
              <w:left w:w="15" w:type="dxa"/>
              <w:bottom w:w="0" w:type="dxa"/>
              <w:right w:w="15" w:type="dxa"/>
            </w:tcMar>
            <w:vAlign w:val="bottom"/>
            <w:hideMark/>
          </w:tcPr>
          <w:p w14:paraId="6130F56B"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537,892.00 </w:t>
            </w:r>
          </w:p>
        </w:tc>
      </w:tr>
      <w:tr w:rsidR="00D45CC9" w:rsidRPr="00D45CC9" w14:paraId="6130F570" w14:textId="77777777" w:rsidTr="00D45CC9">
        <w:trPr>
          <w:trHeight w:val="793"/>
        </w:trPr>
        <w:tc>
          <w:tcPr>
            <w:tcW w:w="4380" w:type="dxa"/>
            <w:tcBorders>
              <w:top w:val="single" w:sz="8" w:space="0" w:color="FFFFFF"/>
              <w:left w:val="single" w:sz="8" w:space="0" w:color="FFFFFF"/>
              <w:bottom w:val="single" w:sz="8" w:space="0" w:color="FFFFFF"/>
              <w:right w:val="single" w:sz="8" w:space="0" w:color="FFFFFF"/>
            </w:tcBorders>
            <w:shd w:val="clear" w:color="auto" w:fill="99CB38"/>
            <w:tcMar>
              <w:top w:w="15" w:type="dxa"/>
              <w:left w:w="15" w:type="dxa"/>
              <w:bottom w:w="0" w:type="dxa"/>
              <w:right w:w="15" w:type="dxa"/>
            </w:tcMar>
            <w:vAlign w:val="bottom"/>
            <w:hideMark/>
          </w:tcPr>
          <w:p w14:paraId="6130F56D" w14:textId="77777777" w:rsidR="00D45CC9" w:rsidRPr="00D45CC9" w:rsidRDefault="00D45CC9" w:rsidP="00D45CC9">
            <w:pPr>
              <w:textAlignment w:val="bottom"/>
              <w:rPr>
                <w:rFonts w:ascii="Arial" w:eastAsia="Times New Roman" w:hAnsi="Arial" w:cs="Arial"/>
                <w:color w:val="auto"/>
                <w:sz w:val="36"/>
                <w:szCs w:val="36"/>
              </w:rPr>
            </w:pPr>
            <w:r w:rsidRPr="00D45CC9">
              <w:rPr>
                <w:rFonts w:ascii="Calibri" w:eastAsia="Times New Roman" w:hAnsi="Calibri" w:cs="Calibri"/>
                <w:b/>
                <w:bCs/>
                <w:color w:val="auto"/>
                <w:kern w:val="24"/>
                <w:sz w:val="40"/>
                <w:szCs w:val="40"/>
              </w:rPr>
              <w:t>Scenario 8</w:t>
            </w:r>
          </w:p>
        </w:tc>
        <w:tc>
          <w:tcPr>
            <w:tcW w:w="268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6E"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N/A</w:t>
            </w:r>
          </w:p>
        </w:tc>
        <w:tc>
          <w:tcPr>
            <w:tcW w:w="3660" w:type="dxa"/>
            <w:tcBorders>
              <w:top w:val="single" w:sz="8" w:space="0" w:color="FFFFFF"/>
              <w:left w:val="single" w:sz="8" w:space="0" w:color="FFFFFF"/>
              <w:bottom w:val="single" w:sz="8" w:space="0" w:color="FFFFFF"/>
              <w:right w:val="single" w:sz="8" w:space="0" w:color="FFFFFF"/>
            </w:tcBorders>
            <w:shd w:val="clear" w:color="auto" w:fill="EFF6E8"/>
            <w:tcMar>
              <w:top w:w="15" w:type="dxa"/>
              <w:left w:w="15" w:type="dxa"/>
              <w:bottom w:w="0" w:type="dxa"/>
              <w:right w:w="15" w:type="dxa"/>
            </w:tcMar>
            <w:vAlign w:val="bottom"/>
            <w:hideMark/>
          </w:tcPr>
          <w:p w14:paraId="6130F56F" w14:textId="77777777" w:rsidR="00D45CC9" w:rsidRPr="00D45CC9" w:rsidRDefault="00D45CC9" w:rsidP="00D45CC9">
            <w:pPr>
              <w:jc w:val="right"/>
              <w:textAlignment w:val="bottom"/>
              <w:rPr>
                <w:rFonts w:ascii="Arial" w:eastAsia="Times New Roman" w:hAnsi="Arial" w:cs="Arial"/>
                <w:color w:val="auto"/>
                <w:sz w:val="36"/>
                <w:szCs w:val="36"/>
              </w:rPr>
            </w:pPr>
            <w:r w:rsidRPr="00D45CC9">
              <w:rPr>
                <w:rFonts w:ascii="Calibri" w:eastAsia="Times New Roman" w:hAnsi="Calibri" w:cs="Calibri"/>
                <w:color w:val="000000"/>
                <w:kern w:val="24"/>
                <w:sz w:val="40"/>
                <w:szCs w:val="40"/>
              </w:rPr>
              <w:t xml:space="preserve"> $      451,300.00 </w:t>
            </w:r>
          </w:p>
        </w:tc>
      </w:tr>
    </w:tbl>
    <w:p w14:paraId="6130F571" w14:textId="77777777" w:rsidR="00D45CC9" w:rsidRDefault="00D45CC9" w:rsidP="00E042CE"/>
    <w:p w14:paraId="6130F572" w14:textId="77777777" w:rsidR="00D45CC9" w:rsidRDefault="00D45CC9">
      <w:pPr>
        <w:spacing w:after="200" w:line="276" w:lineRule="auto"/>
      </w:pPr>
      <w:r>
        <w:br w:type="page"/>
      </w:r>
    </w:p>
    <w:p w14:paraId="6130F573" w14:textId="77777777" w:rsidR="00E042CE" w:rsidRDefault="00D45CC9" w:rsidP="00D45CC9">
      <w:pPr>
        <w:pStyle w:val="Heading1"/>
      </w:pPr>
      <w:bookmarkStart w:id="19" w:name="_Toc477860564"/>
      <w:r>
        <w:lastRenderedPageBreak/>
        <w:t>Appendix E: 5 Year Estimated Local Capital and Operation Expense Budgets</w:t>
      </w:r>
      <w:bookmarkEnd w:id="19"/>
    </w:p>
    <w:p w14:paraId="6130F574" w14:textId="77777777" w:rsidR="00D45CC9" w:rsidRDefault="00D45CC9" w:rsidP="00D45CC9"/>
    <w:p w14:paraId="6130F575" w14:textId="77777777" w:rsidR="00D45CC9" w:rsidRDefault="00D45CC9" w:rsidP="00D45CC9">
      <w:r>
        <w:rPr>
          <w:noProof/>
        </w:rPr>
        <w:drawing>
          <wp:inline distT="0" distB="0" distL="0" distR="0" wp14:anchorId="6130F5E6" wp14:editId="6130F5E7">
            <wp:extent cx="6858000" cy="2291080"/>
            <wp:effectExtent l="0" t="0" r="0" b="0"/>
            <wp:docPr id="30"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65"/>
                    <a:stretch>
                      <a:fillRect/>
                    </a:stretch>
                  </pic:blipFill>
                  <pic:spPr>
                    <a:xfrm>
                      <a:off x="0" y="0"/>
                      <a:ext cx="6858000" cy="2291080"/>
                    </a:xfrm>
                    <a:prstGeom prst="rect">
                      <a:avLst/>
                    </a:prstGeom>
                  </pic:spPr>
                </pic:pic>
              </a:graphicData>
            </a:graphic>
          </wp:inline>
        </w:drawing>
      </w:r>
    </w:p>
    <w:p w14:paraId="6130F576" w14:textId="77777777" w:rsidR="00D45CC9" w:rsidRDefault="00D45CC9" w:rsidP="00D45CC9"/>
    <w:p w14:paraId="6130F577" w14:textId="77777777" w:rsidR="00D45CC9" w:rsidRPr="00D45CC9" w:rsidRDefault="00D45CC9" w:rsidP="00D45CC9">
      <w:r w:rsidRPr="00D45CC9">
        <w:rPr>
          <w:noProof/>
        </w:rPr>
        <w:drawing>
          <wp:inline distT="0" distB="0" distL="0" distR="0" wp14:anchorId="6130F5E8" wp14:editId="6130F5E9">
            <wp:extent cx="6858000" cy="2281555"/>
            <wp:effectExtent l="0" t="0" r="0" b="4445"/>
            <wp:docPr id="31" name="Content Placeholder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pic:cNvPicPr>
                      <a:picLocks noGrp="1" noChangeAspect="1"/>
                    </pic:cNvPicPr>
                  </pic:nvPicPr>
                  <pic:blipFill>
                    <a:blip r:embed="rId66"/>
                    <a:stretch>
                      <a:fillRect/>
                    </a:stretch>
                  </pic:blipFill>
                  <pic:spPr>
                    <a:xfrm>
                      <a:off x="0" y="0"/>
                      <a:ext cx="6858000" cy="2281555"/>
                    </a:xfrm>
                    <a:prstGeom prst="rect">
                      <a:avLst/>
                    </a:prstGeom>
                  </pic:spPr>
                </pic:pic>
              </a:graphicData>
            </a:graphic>
          </wp:inline>
        </w:drawing>
      </w:r>
    </w:p>
    <w:sectPr w:rsidR="00D45CC9" w:rsidRPr="00D45CC9" w:rsidSect="004F40C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30F5EC" w14:textId="77777777" w:rsidR="006503A9" w:rsidRDefault="006503A9" w:rsidP="00582849">
      <w:r>
        <w:separator/>
      </w:r>
    </w:p>
  </w:endnote>
  <w:endnote w:type="continuationSeparator" w:id="0">
    <w:p w14:paraId="6130F5ED" w14:textId="77777777" w:rsidR="006503A9" w:rsidRDefault="006503A9" w:rsidP="00582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008274"/>
      <w:docPartObj>
        <w:docPartGallery w:val="Page Numbers (Bottom of Page)"/>
        <w:docPartUnique/>
      </w:docPartObj>
    </w:sdtPr>
    <w:sdtEndPr>
      <w:rPr>
        <w:noProof/>
      </w:rPr>
    </w:sdtEndPr>
    <w:sdtContent>
      <w:p w14:paraId="6130F5EE" w14:textId="77777777" w:rsidR="006503A9" w:rsidRDefault="006503A9">
        <w:pPr>
          <w:pStyle w:val="Footer"/>
          <w:jc w:val="right"/>
        </w:pPr>
        <w:r>
          <w:fldChar w:fldCharType="begin"/>
        </w:r>
        <w:r>
          <w:instrText xml:space="preserve"> PAGE   \* MERGEFORMAT </w:instrText>
        </w:r>
        <w:r>
          <w:fldChar w:fldCharType="separate"/>
        </w:r>
        <w:r w:rsidR="00AD03A8">
          <w:rPr>
            <w:noProof/>
          </w:rPr>
          <w:t>2</w:t>
        </w:r>
        <w:r>
          <w:rPr>
            <w:noProof/>
          </w:rPr>
          <w:fldChar w:fldCharType="end"/>
        </w:r>
      </w:p>
    </w:sdtContent>
  </w:sdt>
  <w:p w14:paraId="6130F5EF" w14:textId="77777777" w:rsidR="006503A9" w:rsidRDefault="006503A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098930"/>
      <w:docPartObj>
        <w:docPartGallery w:val="Page Numbers (Bottom of Page)"/>
        <w:docPartUnique/>
      </w:docPartObj>
    </w:sdtPr>
    <w:sdtEndPr>
      <w:rPr>
        <w:noProof/>
      </w:rPr>
    </w:sdtEndPr>
    <w:sdtContent>
      <w:p w14:paraId="6130F5F0" w14:textId="77777777" w:rsidR="006503A9" w:rsidRDefault="006503A9">
        <w:pPr>
          <w:pStyle w:val="Footer"/>
          <w:jc w:val="right"/>
        </w:pPr>
        <w:r>
          <w:fldChar w:fldCharType="begin"/>
        </w:r>
        <w:r>
          <w:instrText xml:space="preserve"> PAGE   \* MERGEFORMAT </w:instrText>
        </w:r>
        <w:r>
          <w:fldChar w:fldCharType="separate"/>
        </w:r>
        <w:r w:rsidR="00AD03A8">
          <w:rPr>
            <w:noProof/>
          </w:rPr>
          <w:t>0</w:t>
        </w:r>
        <w:r>
          <w:rPr>
            <w:noProof/>
          </w:rPr>
          <w:fldChar w:fldCharType="end"/>
        </w:r>
      </w:p>
    </w:sdtContent>
  </w:sdt>
  <w:p w14:paraId="6130F5F1" w14:textId="77777777" w:rsidR="006503A9" w:rsidRDefault="006503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5564379"/>
      <w:docPartObj>
        <w:docPartGallery w:val="Page Numbers (Bottom of Page)"/>
        <w:docPartUnique/>
      </w:docPartObj>
    </w:sdtPr>
    <w:sdtEndPr>
      <w:rPr>
        <w:noProof/>
      </w:rPr>
    </w:sdtEndPr>
    <w:sdtContent>
      <w:p w14:paraId="6130F5F2" w14:textId="77777777" w:rsidR="006503A9" w:rsidRDefault="006503A9">
        <w:pPr>
          <w:pStyle w:val="Footer"/>
          <w:jc w:val="right"/>
        </w:pPr>
        <w:r>
          <w:fldChar w:fldCharType="begin"/>
        </w:r>
        <w:r>
          <w:instrText xml:space="preserve"> PAGE   \* MERGEFORMAT </w:instrText>
        </w:r>
        <w:r>
          <w:fldChar w:fldCharType="separate"/>
        </w:r>
        <w:r w:rsidR="00AD03A8">
          <w:rPr>
            <w:noProof/>
          </w:rPr>
          <w:t>51</w:t>
        </w:r>
        <w:r>
          <w:rPr>
            <w:noProof/>
          </w:rPr>
          <w:fldChar w:fldCharType="end"/>
        </w:r>
      </w:p>
    </w:sdtContent>
  </w:sdt>
  <w:p w14:paraId="6130F5F3" w14:textId="77777777" w:rsidR="006503A9" w:rsidRDefault="006503A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2597035"/>
      <w:docPartObj>
        <w:docPartGallery w:val="Page Numbers (Bottom of Page)"/>
        <w:docPartUnique/>
      </w:docPartObj>
    </w:sdtPr>
    <w:sdtEndPr>
      <w:rPr>
        <w:noProof/>
      </w:rPr>
    </w:sdtEndPr>
    <w:sdtContent>
      <w:p w14:paraId="6130F5F4" w14:textId="77777777" w:rsidR="006503A9" w:rsidRDefault="006503A9">
        <w:pPr>
          <w:pStyle w:val="Footer"/>
          <w:jc w:val="right"/>
        </w:pPr>
        <w:r>
          <w:fldChar w:fldCharType="begin"/>
        </w:r>
        <w:r>
          <w:instrText xml:space="preserve"> PAGE   \* MERGEFORMAT </w:instrText>
        </w:r>
        <w:r>
          <w:fldChar w:fldCharType="separate"/>
        </w:r>
        <w:r w:rsidR="00AD03A8">
          <w:rPr>
            <w:noProof/>
          </w:rPr>
          <w:t>49</w:t>
        </w:r>
        <w:r>
          <w:rPr>
            <w:noProof/>
          </w:rPr>
          <w:fldChar w:fldCharType="end"/>
        </w:r>
      </w:p>
    </w:sdtContent>
  </w:sdt>
  <w:p w14:paraId="6130F5F5" w14:textId="77777777" w:rsidR="006503A9" w:rsidRDefault="006503A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30F5EA" w14:textId="77777777" w:rsidR="006503A9" w:rsidRDefault="006503A9" w:rsidP="00582849">
      <w:r>
        <w:separator/>
      </w:r>
    </w:p>
  </w:footnote>
  <w:footnote w:type="continuationSeparator" w:id="0">
    <w:p w14:paraId="6130F5EB" w14:textId="77777777" w:rsidR="006503A9" w:rsidRDefault="006503A9" w:rsidP="005828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8670C4"/>
    <w:multiLevelType w:val="hybridMultilevel"/>
    <w:tmpl w:val="DA00B686"/>
    <w:lvl w:ilvl="0" w:tplc="48B0D6E0">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6A1D0C"/>
    <w:multiLevelType w:val="hybridMultilevel"/>
    <w:tmpl w:val="EC16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E7721F"/>
    <w:multiLevelType w:val="hybridMultilevel"/>
    <w:tmpl w:val="ACE8C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7FB"/>
    <w:rsid w:val="00002A23"/>
    <w:rsid w:val="00020460"/>
    <w:rsid w:val="000327FC"/>
    <w:rsid w:val="0003657D"/>
    <w:rsid w:val="00037E65"/>
    <w:rsid w:val="00044197"/>
    <w:rsid w:val="00051A12"/>
    <w:rsid w:val="000565CF"/>
    <w:rsid w:val="0006382A"/>
    <w:rsid w:val="00065100"/>
    <w:rsid w:val="0006512D"/>
    <w:rsid w:val="0007219A"/>
    <w:rsid w:val="000B181F"/>
    <w:rsid w:val="000B7482"/>
    <w:rsid w:val="000E5458"/>
    <w:rsid w:val="000E6E9D"/>
    <w:rsid w:val="00115643"/>
    <w:rsid w:val="00125470"/>
    <w:rsid w:val="001257FB"/>
    <w:rsid w:val="001278B9"/>
    <w:rsid w:val="00152694"/>
    <w:rsid w:val="00192751"/>
    <w:rsid w:val="00195F19"/>
    <w:rsid w:val="001A1786"/>
    <w:rsid w:val="001B18BB"/>
    <w:rsid w:val="001C728A"/>
    <w:rsid w:val="001F4C43"/>
    <w:rsid w:val="001F762C"/>
    <w:rsid w:val="00205AC8"/>
    <w:rsid w:val="002113AC"/>
    <w:rsid w:val="002166E1"/>
    <w:rsid w:val="00217E72"/>
    <w:rsid w:val="002330EF"/>
    <w:rsid w:val="00234134"/>
    <w:rsid w:val="00235C48"/>
    <w:rsid w:val="002417A1"/>
    <w:rsid w:val="002453F8"/>
    <w:rsid w:val="00256E60"/>
    <w:rsid w:val="002610C5"/>
    <w:rsid w:val="00270A39"/>
    <w:rsid w:val="00271D78"/>
    <w:rsid w:val="00290A95"/>
    <w:rsid w:val="0029633E"/>
    <w:rsid w:val="002B34BE"/>
    <w:rsid w:val="002C59E0"/>
    <w:rsid w:val="002C690C"/>
    <w:rsid w:val="002C7521"/>
    <w:rsid w:val="002E1B17"/>
    <w:rsid w:val="002E347E"/>
    <w:rsid w:val="003026D7"/>
    <w:rsid w:val="003034DB"/>
    <w:rsid w:val="0031671D"/>
    <w:rsid w:val="00330E67"/>
    <w:rsid w:val="00333201"/>
    <w:rsid w:val="00336F76"/>
    <w:rsid w:val="003458D9"/>
    <w:rsid w:val="00347FB4"/>
    <w:rsid w:val="00351504"/>
    <w:rsid w:val="00355506"/>
    <w:rsid w:val="00360A0B"/>
    <w:rsid w:val="003632BB"/>
    <w:rsid w:val="00386B62"/>
    <w:rsid w:val="003A4425"/>
    <w:rsid w:val="003C2A1A"/>
    <w:rsid w:val="003C5573"/>
    <w:rsid w:val="003D303D"/>
    <w:rsid w:val="003D3632"/>
    <w:rsid w:val="003F0150"/>
    <w:rsid w:val="00404BB6"/>
    <w:rsid w:val="00405098"/>
    <w:rsid w:val="00407053"/>
    <w:rsid w:val="004104E8"/>
    <w:rsid w:val="004152FC"/>
    <w:rsid w:val="00423929"/>
    <w:rsid w:val="00430672"/>
    <w:rsid w:val="004320AD"/>
    <w:rsid w:val="00455B27"/>
    <w:rsid w:val="00471933"/>
    <w:rsid w:val="00481A97"/>
    <w:rsid w:val="00484FEB"/>
    <w:rsid w:val="00491A0B"/>
    <w:rsid w:val="004A1D7A"/>
    <w:rsid w:val="004B2CC2"/>
    <w:rsid w:val="004B34A6"/>
    <w:rsid w:val="004B582D"/>
    <w:rsid w:val="004C72C3"/>
    <w:rsid w:val="004E5B85"/>
    <w:rsid w:val="004F40CB"/>
    <w:rsid w:val="004F5D01"/>
    <w:rsid w:val="004F5EB7"/>
    <w:rsid w:val="004F6A9E"/>
    <w:rsid w:val="00521FC8"/>
    <w:rsid w:val="00523D1B"/>
    <w:rsid w:val="00544FF4"/>
    <w:rsid w:val="00582849"/>
    <w:rsid w:val="005A6475"/>
    <w:rsid w:val="005B145E"/>
    <w:rsid w:val="005B2CA7"/>
    <w:rsid w:val="005C37FB"/>
    <w:rsid w:val="005C57B0"/>
    <w:rsid w:val="00604364"/>
    <w:rsid w:val="00606BF7"/>
    <w:rsid w:val="0062057F"/>
    <w:rsid w:val="00620C2B"/>
    <w:rsid w:val="006420F8"/>
    <w:rsid w:val="006428BD"/>
    <w:rsid w:val="00643CB9"/>
    <w:rsid w:val="006503A9"/>
    <w:rsid w:val="00667733"/>
    <w:rsid w:val="00671A09"/>
    <w:rsid w:val="0067257A"/>
    <w:rsid w:val="00673ED3"/>
    <w:rsid w:val="00675185"/>
    <w:rsid w:val="006A2899"/>
    <w:rsid w:val="006B1EE1"/>
    <w:rsid w:val="006B3E25"/>
    <w:rsid w:val="006B4DD5"/>
    <w:rsid w:val="006C45F1"/>
    <w:rsid w:val="00704945"/>
    <w:rsid w:val="00724A54"/>
    <w:rsid w:val="00733B5E"/>
    <w:rsid w:val="00742081"/>
    <w:rsid w:val="0074536F"/>
    <w:rsid w:val="00750B3A"/>
    <w:rsid w:val="00751B64"/>
    <w:rsid w:val="007615CB"/>
    <w:rsid w:val="00767738"/>
    <w:rsid w:val="007725D2"/>
    <w:rsid w:val="00773BB9"/>
    <w:rsid w:val="00773DCB"/>
    <w:rsid w:val="00777992"/>
    <w:rsid w:val="00781E3D"/>
    <w:rsid w:val="007867AC"/>
    <w:rsid w:val="0079785F"/>
    <w:rsid w:val="007A2C3A"/>
    <w:rsid w:val="007B35EE"/>
    <w:rsid w:val="007D1E3A"/>
    <w:rsid w:val="007D42B4"/>
    <w:rsid w:val="007D6B6F"/>
    <w:rsid w:val="007E328A"/>
    <w:rsid w:val="007E4A83"/>
    <w:rsid w:val="007F11F0"/>
    <w:rsid w:val="007F299B"/>
    <w:rsid w:val="00810E9C"/>
    <w:rsid w:val="008118FE"/>
    <w:rsid w:val="00844C55"/>
    <w:rsid w:val="008524AC"/>
    <w:rsid w:val="00854619"/>
    <w:rsid w:val="00860F69"/>
    <w:rsid w:val="00863AB5"/>
    <w:rsid w:val="008656A4"/>
    <w:rsid w:val="00874DC5"/>
    <w:rsid w:val="00885D10"/>
    <w:rsid w:val="00891D22"/>
    <w:rsid w:val="0089594F"/>
    <w:rsid w:val="008B05F9"/>
    <w:rsid w:val="008B399A"/>
    <w:rsid w:val="008D2F00"/>
    <w:rsid w:val="008D3098"/>
    <w:rsid w:val="008D7772"/>
    <w:rsid w:val="008E6014"/>
    <w:rsid w:val="0091114A"/>
    <w:rsid w:val="009165A0"/>
    <w:rsid w:val="00917FB4"/>
    <w:rsid w:val="00923154"/>
    <w:rsid w:val="00924FFD"/>
    <w:rsid w:val="009277D2"/>
    <w:rsid w:val="00927866"/>
    <w:rsid w:val="0094632B"/>
    <w:rsid w:val="00952D90"/>
    <w:rsid w:val="009533A6"/>
    <w:rsid w:val="009822E7"/>
    <w:rsid w:val="00983C61"/>
    <w:rsid w:val="0099275F"/>
    <w:rsid w:val="009A3517"/>
    <w:rsid w:val="009A5E04"/>
    <w:rsid w:val="009A6A2C"/>
    <w:rsid w:val="009C6628"/>
    <w:rsid w:val="009C7B8E"/>
    <w:rsid w:val="009D2DF4"/>
    <w:rsid w:val="009F1CC3"/>
    <w:rsid w:val="00A37884"/>
    <w:rsid w:val="00A413E8"/>
    <w:rsid w:val="00A41430"/>
    <w:rsid w:val="00A71A97"/>
    <w:rsid w:val="00A75488"/>
    <w:rsid w:val="00AA3224"/>
    <w:rsid w:val="00AB1018"/>
    <w:rsid w:val="00AB674B"/>
    <w:rsid w:val="00AC7DD9"/>
    <w:rsid w:val="00AD03A8"/>
    <w:rsid w:val="00AD37B7"/>
    <w:rsid w:val="00AD68C9"/>
    <w:rsid w:val="00AE441F"/>
    <w:rsid w:val="00AF14F4"/>
    <w:rsid w:val="00AF25A1"/>
    <w:rsid w:val="00AF432C"/>
    <w:rsid w:val="00B00BE6"/>
    <w:rsid w:val="00B1227A"/>
    <w:rsid w:val="00B16A11"/>
    <w:rsid w:val="00B22D79"/>
    <w:rsid w:val="00B24A1D"/>
    <w:rsid w:val="00B31948"/>
    <w:rsid w:val="00B35441"/>
    <w:rsid w:val="00B412AB"/>
    <w:rsid w:val="00B47319"/>
    <w:rsid w:val="00B50B4C"/>
    <w:rsid w:val="00B70D56"/>
    <w:rsid w:val="00B72E89"/>
    <w:rsid w:val="00B818F1"/>
    <w:rsid w:val="00B91233"/>
    <w:rsid w:val="00B94E84"/>
    <w:rsid w:val="00BE39CB"/>
    <w:rsid w:val="00C2265B"/>
    <w:rsid w:val="00C40599"/>
    <w:rsid w:val="00C427B6"/>
    <w:rsid w:val="00C44C29"/>
    <w:rsid w:val="00C568F2"/>
    <w:rsid w:val="00C71C41"/>
    <w:rsid w:val="00C77975"/>
    <w:rsid w:val="00C82FD4"/>
    <w:rsid w:val="00CA524C"/>
    <w:rsid w:val="00CC1CB9"/>
    <w:rsid w:val="00CD2E3C"/>
    <w:rsid w:val="00D00461"/>
    <w:rsid w:val="00D14BAE"/>
    <w:rsid w:val="00D34A35"/>
    <w:rsid w:val="00D4587B"/>
    <w:rsid w:val="00D45CC9"/>
    <w:rsid w:val="00D54B42"/>
    <w:rsid w:val="00D732E5"/>
    <w:rsid w:val="00D83269"/>
    <w:rsid w:val="00D84C9A"/>
    <w:rsid w:val="00D930BF"/>
    <w:rsid w:val="00D94B31"/>
    <w:rsid w:val="00DA2586"/>
    <w:rsid w:val="00DA2C9B"/>
    <w:rsid w:val="00DB25B3"/>
    <w:rsid w:val="00DB32E5"/>
    <w:rsid w:val="00DC4DB8"/>
    <w:rsid w:val="00DD54B2"/>
    <w:rsid w:val="00DF52F0"/>
    <w:rsid w:val="00E028EB"/>
    <w:rsid w:val="00E042CE"/>
    <w:rsid w:val="00E077A3"/>
    <w:rsid w:val="00E1058E"/>
    <w:rsid w:val="00E13B3A"/>
    <w:rsid w:val="00E33C92"/>
    <w:rsid w:val="00E54F76"/>
    <w:rsid w:val="00E82DE6"/>
    <w:rsid w:val="00E96523"/>
    <w:rsid w:val="00EA1A85"/>
    <w:rsid w:val="00EB1D5F"/>
    <w:rsid w:val="00EC772B"/>
    <w:rsid w:val="00ED10A1"/>
    <w:rsid w:val="00EF148F"/>
    <w:rsid w:val="00F01148"/>
    <w:rsid w:val="00F01FB0"/>
    <w:rsid w:val="00F20795"/>
    <w:rsid w:val="00F27CFB"/>
    <w:rsid w:val="00F3393B"/>
    <w:rsid w:val="00F34579"/>
    <w:rsid w:val="00F34F5D"/>
    <w:rsid w:val="00F371B1"/>
    <w:rsid w:val="00F56241"/>
    <w:rsid w:val="00F60E43"/>
    <w:rsid w:val="00F75645"/>
    <w:rsid w:val="00F763B6"/>
    <w:rsid w:val="00F86CC8"/>
    <w:rsid w:val="00F90499"/>
    <w:rsid w:val="00F91D29"/>
    <w:rsid w:val="00F963CF"/>
    <w:rsid w:val="00FD3ACF"/>
    <w:rsid w:val="00FD41FE"/>
    <w:rsid w:val="00FE2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0F1EA"/>
  <w15:docId w15:val="{CEA59951-379E-461A-B610-FEEF8F64F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2849"/>
    <w:pPr>
      <w:spacing w:after="0" w:line="240" w:lineRule="auto"/>
    </w:pPr>
    <w:rPr>
      <w:rFonts w:ascii="Goudy Old Style" w:eastAsiaTheme="minorEastAsia" w:hAnsi="Goudy Old Style"/>
      <w:color w:val="000000" w:themeColor="text1"/>
      <w:sz w:val="24"/>
      <w:szCs w:val="24"/>
    </w:rPr>
  </w:style>
  <w:style w:type="paragraph" w:styleId="Heading1">
    <w:name w:val="heading 1"/>
    <w:basedOn w:val="Normal"/>
    <w:next w:val="Normal"/>
    <w:link w:val="Heading1Char"/>
    <w:uiPriority w:val="9"/>
    <w:qFormat/>
    <w:rsid w:val="0060436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41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A5E04"/>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436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4419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A5E04"/>
    <w:rPr>
      <w:rFonts w:asciiTheme="majorHAnsi" w:eastAsiaTheme="majorEastAsia" w:hAnsiTheme="majorHAnsi" w:cstheme="majorBidi"/>
      <w:b/>
      <w:bCs/>
      <w:color w:val="4F81BD" w:themeColor="accent1"/>
      <w:sz w:val="24"/>
      <w:szCs w:val="24"/>
    </w:rPr>
  </w:style>
  <w:style w:type="paragraph" w:styleId="FootnoteText">
    <w:name w:val="footnote text"/>
    <w:basedOn w:val="Normal"/>
    <w:link w:val="FootnoteTextChar"/>
    <w:uiPriority w:val="99"/>
    <w:unhideWhenUsed/>
    <w:rsid w:val="00582849"/>
  </w:style>
  <w:style w:type="character" w:customStyle="1" w:styleId="FootnoteTextChar">
    <w:name w:val="Footnote Text Char"/>
    <w:basedOn w:val="DefaultParagraphFont"/>
    <w:link w:val="FootnoteText"/>
    <w:uiPriority w:val="99"/>
    <w:rsid w:val="00582849"/>
    <w:rPr>
      <w:rFonts w:ascii="Goudy Old Style" w:eastAsiaTheme="minorEastAsia" w:hAnsi="Goudy Old Style"/>
      <w:color w:val="000000" w:themeColor="text1"/>
      <w:sz w:val="24"/>
      <w:szCs w:val="24"/>
    </w:rPr>
  </w:style>
  <w:style w:type="character" w:styleId="FootnoteReference">
    <w:name w:val="footnote reference"/>
    <w:basedOn w:val="DefaultParagraphFont"/>
    <w:uiPriority w:val="99"/>
    <w:unhideWhenUsed/>
    <w:rsid w:val="00582849"/>
    <w:rPr>
      <w:vertAlign w:val="superscript"/>
    </w:rPr>
  </w:style>
  <w:style w:type="paragraph" w:styleId="BalloonText">
    <w:name w:val="Balloon Text"/>
    <w:basedOn w:val="Normal"/>
    <w:link w:val="BalloonTextChar"/>
    <w:uiPriority w:val="99"/>
    <w:semiHidden/>
    <w:unhideWhenUsed/>
    <w:rsid w:val="00582849"/>
    <w:rPr>
      <w:rFonts w:ascii="Tahoma" w:hAnsi="Tahoma" w:cs="Tahoma"/>
      <w:sz w:val="16"/>
      <w:szCs w:val="16"/>
    </w:rPr>
  </w:style>
  <w:style w:type="character" w:customStyle="1" w:styleId="BalloonTextChar">
    <w:name w:val="Balloon Text Char"/>
    <w:basedOn w:val="DefaultParagraphFont"/>
    <w:link w:val="BalloonText"/>
    <w:uiPriority w:val="99"/>
    <w:semiHidden/>
    <w:rsid w:val="00582849"/>
    <w:rPr>
      <w:rFonts w:ascii="Tahoma" w:eastAsiaTheme="minorEastAsia" w:hAnsi="Tahoma" w:cs="Tahoma"/>
      <w:color w:val="000000" w:themeColor="text1"/>
      <w:sz w:val="16"/>
      <w:szCs w:val="16"/>
    </w:rPr>
  </w:style>
  <w:style w:type="paragraph" w:styleId="NoSpacing">
    <w:name w:val="No Spacing"/>
    <w:link w:val="NoSpacingChar"/>
    <w:uiPriority w:val="1"/>
    <w:qFormat/>
    <w:rsid w:val="001B18B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B18BB"/>
    <w:rPr>
      <w:rFonts w:eastAsiaTheme="minorEastAsia"/>
      <w:lang w:eastAsia="ja-JP"/>
    </w:rPr>
  </w:style>
  <w:style w:type="paragraph" w:customStyle="1" w:styleId="Default">
    <w:name w:val="Default"/>
    <w:rsid w:val="009533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6B4DD5"/>
    <w:rPr>
      <w:color w:val="0000FF" w:themeColor="hyperlink"/>
      <w:u w:val="single"/>
    </w:rPr>
  </w:style>
  <w:style w:type="table" w:styleId="TableGrid">
    <w:name w:val="Table Grid"/>
    <w:basedOn w:val="TableNormal"/>
    <w:uiPriority w:val="59"/>
    <w:rsid w:val="006B4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06512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6512D"/>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06512D"/>
    <w:rPr>
      <w:color w:val="800080" w:themeColor="followedHyperlink"/>
      <w:u w:val="single"/>
    </w:rPr>
  </w:style>
  <w:style w:type="paragraph" w:styleId="Subtitle">
    <w:name w:val="Subtitle"/>
    <w:basedOn w:val="Normal"/>
    <w:next w:val="Normal"/>
    <w:link w:val="SubtitleChar"/>
    <w:uiPriority w:val="11"/>
    <w:qFormat/>
    <w:rsid w:val="003F015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F0150"/>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777992"/>
    <w:pPr>
      <w:ind w:left="720"/>
      <w:contextualSpacing/>
    </w:pPr>
  </w:style>
  <w:style w:type="character" w:styleId="CommentReference">
    <w:name w:val="annotation reference"/>
    <w:basedOn w:val="DefaultParagraphFont"/>
    <w:uiPriority w:val="99"/>
    <w:semiHidden/>
    <w:unhideWhenUsed/>
    <w:rsid w:val="00290A95"/>
    <w:rPr>
      <w:sz w:val="16"/>
      <w:szCs w:val="16"/>
    </w:rPr>
  </w:style>
  <w:style w:type="paragraph" w:styleId="CommentText">
    <w:name w:val="annotation text"/>
    <w:basedOn w:val="Normal"/>
    <w:link w:val="CommentTextChar"/>
    <w:uiPriority w:val="99"/>
    <w:semiHidden/>
    <w:unhideWhenUsed/>
    <w:rsid w:val="00290A95"/>
    <w:rPr>
      <w:sz w:val="20"/>
      <w:szCs w:val="20"/>
    </w:rPr>
  </w:style>
  <w:style w:type="character" w:customStyle="1" w:styleId="CommentTextChar">
    <w:name w:val="Comment Text Char"/>
    <w:basedOn w:val="DefaultParagraphFont"/>
    <w:link w:val="CommentText"/>
    <w:uiPriority w:val="99"/>
    <w:semiHidden/>
    <w:rsid w:val="00290A95"/>
    <w:rPr>
      <w:rFonts w:ascii="Goudy Old Style" w:eastAsiaTheme="minorEastAsia" w:hAnsi="Goudy Old Style"/>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290A95"/>
    <w:rPr>
      <w:b/>
      <w:bCs/>
    </w:rPr>
  </w:style>
  <w:style w:type="character" w:customStyle="1" w:styleId="CommentSubjectChar">
    <w:name w:val="Comment Subject Char"/>
    <w:basedOn w:val="CommentTextChar"/>
    <w:link w:val="CommentSubject"/>
    <w:uiPriority w:val="99"/>
    <w:semiHidden/>
    <w:rsid w:val="00290A95"/>
    <w:rPr>
      <w:rFonts w:ascii="Goudy Old Style" w:eastAsiaTheme="minorEastAsia" w:hAnsi="Goudy Old Style"/>
      <w:b/>
      <w:bCs/>
      <w:color w:val="000000" w:themeColor="text1"/>
      <w:sz w:val="20"/>
      <w:szCs w:val="20"/>
    </w:rPr>
  </w:style>
  <w:style w:type="character" w:styleId="SubtleEmphasis">
    <w:name w:val="Subtle Emphasis"/>
    <w:basedOn w:val="DefaultParagraphFont"/>
    <w:uiPriority w:val="19"/>
    <w:qFormat/>
    <w:rsid w:val="00F371B1"/>
    <w:rPr>
      <w:i/>
      <w:iCs/>
      <w:color w:val="808080" w:themeColor="text1" w:themeTint="7F"/>
    </w:rPr>
  </w:style>
  <w:style w:type="paragraph" w:styleId="TOCHeading">
    <w:name w:val="TOC Heading"/>
    <w:basedOn w:val="Heading1"/>
    <w:next w:val="Normal"/>
    <w:uiPriority w:val="39"/>
    <w:semiHidden/>
    <w:unhideWhenUsed/>
    <w:qFormat/>
    <w:rsid w:val="009C7B8E"/>
    <w:pPr>
      <w:spacing w:line="276" w:lineRule="auto"/>
      <w:outlineLvl w:val="9"/>
    </w:pPr>
    <w:rPr>
      <w:lang w:eastAsia="ja-JP"/>
    </w:rPr>
  </w:style>
  <w:style w:type="paragraph" w:styleId="TOC1">
    <w:name w:val="toc 1"/>
    <w:basedOn w:val="Normal"/>
    <w:next w:val="Normal"/>
    <w:autoRedefine/>
    <w:uiPriority w:val="39"/>
    <w:unhideWhenUsed/>
    <w:rsid w:val="009C7B8E"/>
    <w:pPr>
      <w:spacing w:after="100"/>
    </w:pPr>
  </w:style>
  <w:style w:type="paragraph" w:styleId="TOC2">
    <w:name w:val="toc 2"/>
    <w:basedOn w:val="Normal"/>
    <w:next w:val="Normal"/>
    <w:autoRedefine/>
    <w:uiPriority w:val="39"/>
    <w:unhideWhenUsed/>
    <w:rsid w:val="007D1E3A"/>
    <w:pPr>
      <w:spacing w:after="100"/>
      <w:ind w:left="240"/>
    </w:pPr>
  </w:style>
  <w:style w:type="paragraph" w:styleId="Header">
    <w:name w:val="header"/>
    <w:basedOn w:val="Normal"/>
    <w:link w:val="HeaderChar"/>
    <w:uiPriority w:val="99"/>
    <w:unhideWhenUsed/>
    <w:rsid w:val="00333201"/>
    <w:pPr>
      <w:tabs>
        <w:tab w:val="center" w:pos="4680"/>
        <w:tab w:val="right" w:pos="9360"/>
      </w:tabs>
    </w:pPr>
  </w:style>
  <w:style w:type="character" w:customStyle="1" w:styleId="HeaderChar">
    <w:name w:val="Header Char"/>
    <w:basedOn w:val="DefaultParagraphFont"/>
    <w:link w:val="Header"/>
    <w:uiPriority w:val="99"/>
    <w:rsid w:val="00333201"/>
    <w:rPr>
      <w:rFonts w:ascii="Goudy Old Style" w:eastAsiaTheme="minorEastAsia" w:hAnsi="Goudy Old Style"/>
      <w:color w:val="000000" w:themeColor="text1"/>
      <w:sz w:val="24"/>
      <w:szCs w:val="24"/>
    </w:rPr>
  </w:style>
  <w:style w:type="paragraph" w:styleId="Footer">
    <w:name w:val="footer"/>
    <w:basedOn w:val="Normal"/>
    <w:link w:val="FooterChar"/>
    <w:uiPriority w:val="99"/>
    <w:unhideWhenUsed/>
    <w:rsid w:val="00333201"/>
    <w:pPr>
      <w:tabs>
        <w:tab w:val="center" w:pos="4680"/>
        <w:tab w:val="right" w:pos="9360"/>
      </w:tabs>
    </w:pPr>
  </w:style>
  <w:style w:type="character" w:customStyle="1" w:styleId="FooterChar">
    <w:name w:val="Footer Char"/>
    <w:basedOn w:val="DefaultParagraphFont"/>
    <w:link w:val="Footer"/>
    <w:uiPriority w:val="99"/>
    <w:rsid w:val="00333201"/>
    <w:rPr>
      <w:rFonts w:ascii="Goudy Old Style" w:eastAsiaTheme="minorEastAsia" w:hAnsi="Goudy Old Style"/>
      <w:color w:val="000000" w:themeColor="text1"/>
      <w:sz w:val="24"/>
      <w:szCs w:val="24"/>
    </w:rPr>
  </w:style>
  <w:style w:type="table" w:styleId="GridTable1Light">
    <w:name w:val="Grid Table 1 Light"/>
    <w:basedOn w:val="TableNormal"/>
    <w:uiPriority w:val="46"/>
    <w:rsid w:val="002B34B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885D10"/>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91165">
      <w:bodyDiv w:val="1"/>
      <w:marLeft w:val="0"/>
      <w:marRight w:val="0"/>
      <w:marTop w:val="0"/>
      <w:marBottom w:val="0"/>
      <w:divBdr>
        <w:top w:val="none" w:sz="0" w:space="0" w:color="auto"/>
        <w:left w:val="none" w:sz="0" w:space="0" w:color="auto"/>
        <w:bottom w:val="none" w:sz="0" w:space="0" w:color="auto"/>
        <w:right w:val="none" w:sz="0" w:space="0" w:color="auto"/>
      </w:divBdr>
    </w:div>
    <w:div w:id="427312564">
      <w:bodyDiv w:val="1"/>
      <w:marLeft w:val="0"/>
      <w:marRight w:val="0"/>
      <w:marTop w:val="0"/>
      <w:marBottom w:val="0"/>
      <w:divBdr>
        <w:top w:val="none" w:sz="0" w:space="0" w:color="auto"/>
        <w:left w:val="none" w:sz="0" w:space="0" w:color="auto"/>
        <w:bottom w:val="none" w:sz="0" w:space="0" w:color="auto"/>
        <w:right w:val="none" w:sz="0" w:space="0" w:color="auto"/>
      </w:divBdr>
    </w:div>
    <w:div w:id="557252838">
      <w:bodyDiv w:val="1"/>
      <w:marLeft w:val="0"/>
      <w:marRight w:val="0"/>
      <w:marTop w:val="0"/>
      <w:marBottom w:val="0"/>
      <w:divBdr>
        <w:top w:val="none" w:sz="0" w:space="0" w:color="auto"/>
        <w:left w:val="none" w:sz="0" w:space="0" w:color="auto"/>
        <w:bottom w:val="none" w:sz="0" w:space="0" w:color="auto"/>
        <w:right w:val="none" w:sz="0" w:space="0" w:color="auto"/>
      </w:divBdr>
    </w:div>
    <w:div w:id="635993440">
      <w:bodyDiv w:val="1"/>
      <w:marLeft w:val="0"/>
      <w:marRight w:val="0"/>
      <w:marTop w:val="0"/>
      <w:marBottom w:val="0"/>
      <w:divBdr>
        <w:top w:val="none" w:sz="0" w:space="0" w:color="auto"/>
        <w:left w:val="none" w:sz="0" w:space="0" w:color="auto"/>
        <w:bottom w:val="none" w:sz="0" w:space="0" w:color="auto"/>
        <w:right w:val="none" w:sz="0" w:space="0" w:color="auto"/>
      </w:divBdr>
    </w:div>
    <w:div w:id="690572629">
      <w:bodyDiv w:val="1"/>
      <w:marLeft w:val="0"/>
      <w:marRight w:val="0"/>
      <w:marTop w:val="0"/>
      <w:marBottom w:val="0"/>
      <w:divBdr>
        <w:top w:val="none" w:sz="0" w:space="0" w:color="auto"/>
        <w:left w:val="none" w:sz="0" w:space="0" w:color="auto"/>
        <w:bottom w:val="none" w:sz="0" w:space="0" w:color="auto"/>
        <w:right w:val="none" w:sz="0" w:space="0" w:color="auto"/>
      </w:divBdr>
    </w:div>
    <w:div w:id="786435146">
      <w:bodyDiv w:val="1"/>
      <w:marLeft w:val="0"/>
      <w:marRight w:val="0"/>
      <w:marTop w:val="0"/>
      <w:marBottom w:val="0"/>
      <w:divBdr>
        <w:top w:val="none" w:sz="0" w:space="0" w:color="auto"/>
        <w:left w:val="none" w:sz="0" w:space="0" w:color="auto"/>
        <w:bottom w:val="none" w:sz="0" w:space="0" w:color="auto"/>
        <w:right w:val="none" w:sz="0" w:space="0" w:color="auto"/>
      </w:divBdr>
    </w:div>
    <w:div w:id="799684681">
      <w:bodyDiv w:val="1"/>
      <w:marLeft w:val="0"/>
      <w:marRight w:val="0"/>
      <w:marTop w:val="0"/>
      <w:marBottom w:val="0"/>
      <w:divBdr>
        <w:top w:val="none" w:sz="0" w:space="0" w:color="auto"/>
        <w:left w:val="none" w:sz="0" w:space="0" w:color="auto"/>
        <w:bottom w:val="none" w:sz="0" w:space="0" w:color="auto"/>
        <w:right w:val="none" w:sz="0" w:space="0" w:color="auto"/>
      </w:divBdr>
    </w:div>
    <w:div w:id="1194227102">
      <w:bodyDiv w:val="1"/>
      <w:marLeft w:val="0"/>
      <w:marRight w:val="0"/>
      <w:marTop w:val="0"/>
      <w:marBottom w:val="0"/>
      <w:divBdr>
        <w:top w:val="none" w:sz="0" w:space="0" w:color="auto"/>
        <w:left w:val="none" w:sz="0" w:space="0" w:color="auto"/>
        <w:bottom w:val="none" w:sz="0" w:space="0" w:color="auto"/>
        <w:right w:val="none" w:sz="0" w:space="0" w:color="auto"/>
      </w:divBdr>
    </w:div>
    <w:div w:id="1208834715">
      <w:bodyDiv w:val="1"/>
      <w:marLeft w:val="0"/>
      <w:marRight w:val="0"/>
      <w:marTop w:val="0"/>
      <w:marBottom w:val="0"/>
      <w:divBdr>
        <w:top w:val="none" w:sz="0" w:space="0" w:color="auto"/>
        <w:left w:val="none" w:sz="0" w:space="0" w:color="auto"/>
        <w:bottom w:val="none" w:sz="0" w:space="0" w:color="auto"/>
        <w:right w:val="none" w:sz="0" w:space="0" w:color="auto"/>
      </w:divBdr>
    </w:div>
    <w:div w:id="1219709705">
      <w:bodyDiv w:val="1"/>
      <w:marLeft w:val="0"/>
      <w:marRight w:val="0"/>
      <w:marTop w:val="0"/>
      <w:marBottom w:val="0"/>
      <w:divBdr>
        <w:top w:val="none" w:sz="0" w:space="0" w:color="auto"/>
        <w:left w:val="none" w:sz="0" w:space="0" w:color="auto"/>
        <w:bottom w:val="none" w:sz="0" w:space="0" w:color="auto"/>
        <w:right w:val="none" w:sz="0" w:space="0" w:color="auto"/>
      </w:divBdr>
    </w:div>
    <w:div w:id="1257177155">
      <w:bodyDiv w:val="1"/>
      <w:marLeft w:val="0"/>
      <w:marRight w:val="0"/>
      <w:marTop w:val="0"/>
      <w:marBottom w:val="0"/>
      <w:divBdr>
        <w:top w:val="none" w:sz="0" w:space="0" w:color="auto"/>
        <w:left w:val="none" w:sz="0" w:space="0" w:color="auto"/>
        <w:bottom w:val="none" w:sz="0" w:space="0" w:color="auto"/>
        <w:right w:val="none" w:sz="0" w:space="0" w:color="auto"/>
      </w:divBdr>
    </w:div>
    <w:div w:id="1337996453">
      <w:bodyDiv w:val="1"/>
      <w:marLeft w:val="0"/>
      <w:marRight w:val="0"/>
      <w:marTop w:val="0"/>
      <w:marBottom w:val="0"/>
      <w:divBdr>
        <w:top w:val="none" w:sz="0" w:space="0" w:color="auto"/>
        <w:left w:val="none" w:sz="0" w:space="0" w:color="auto"/>
        <w:bottom w:val="none" w:sz="0" w:space="0" w:color="auto"/>
        <w:right w:val="none" w:sz="0" w:space="0" w:color="auto"/>
      </w:divBdr>
    </w:div>
    <w:div w:id="1455176828">
      <w:bodyDiv w:val="1"/>
      <w:marLeft w:val="0"/>
      <w:marRight w:val="0"/>
      <w:marTop w:val="0"/>
      <w:marBottom w:val="0"/>
      <w:divBdr>
        <w:top w:val="none" w:sz="0" w:space="0" w:color="auto"/>
        <w:left w:val="none" w:sz="0" w:space="0" w:color="auto"/>
        <w:bottom w:val="none" w:sz="0" w:space="0" w:color="auto"/>
        <w:right w:val="none" w:sz="0" w:space="0" w:color="auto"/>
      </w:divBdr>
    </w:div>
    <w:div w:id="1513571041">
      <w:bodyDiv w:val="1"/>
      <w:marLeft w:val="0"/>
      <w:marRight w:val="0"/>
      <w:marTop w:val="0"/>
      <w:marBottom w:val="0"/>
      <w:divBdr>
        <w:top w:val="none" w:sz="0" w:space="0" w:color="auto"/>
        <w:left w:val="none" w:sz="0" w:space="0" w:color="auto"/>
        <w:bottom w:val="none" w:sz="0" w:space="0" w:color="auto"/>
        <w:right w:val="none" w:sz="0" w:space="0" w:color="auto"/>
      </w:divBdr>
    </w:div>
    <w:div w:id="1514027604">
      <w:bodyDiv w:val="1"/>
      <w:marLeft w:val="0"/>
      <w:marRight w:val="0"/>
      <w:marTop w:val="0"/>
      <w:marBottom w:val="0"/>
      <w:divBdr>
        <w:top w:val="none" w:sz="0" w:space="0" w:color="auto"/>
        <w:left w:val="none" w:sz="0" w:space="0" w:color="auto"/>
        <w:bottom w:val="none" w:sz="0" w:space="0" w:color="auto"/>
        <w:right w:val="none" w:sz="0" w:space="0" w:color="auto"/>
      </w:divBdr>
    </w:div>
    <w:div w:id="1556769415">
      <w:bodyDiv w:val="1"/>
      <w:marLeft w:val="0"/>
      <w:marRight w:val="0"/>
      <w:marTop w:val="0"/>
      <w:marBottom w:val="0"/>
      <w:divBdr>
        <w:top w:val="none" w:sz="0" w:space="0" w:color="auto"/>
        <w:left w:val="none" w:sz="0" w:space="0" w:color="auto"/>
        <w:bottom w:val="none" w:sz="0" w:space="0" w:color="auto"/>
        <w:right w:val="none" w:sz="0" w:space="0" w:color="auto"/>
      </w:divBdr>
    </w:div>
    <w:div w:id="1579100066">
      <w:bodyDiv w:val="1"/>
      <w:marLeft w:val="0"/>
      <w:marRight w:val="0"/>
      <w:marTop w:val="0"/>
      <w:marBottom w:val="0"/>
      <w:divBdr>
        <w:top w:val="none" w:sz="0" w:space="0" w:color="auto"/>
        <w:left w:val="none" w:sz="0" w:space="0" w:color="auto"/>
        <w:bottom w:val="none" w:sz="0" w:space="0" w:color="auto"/>
        <w:right w:val="none" w:sz="0" w:space="0" w:color="auto"/>
      </w:divBdr>
    </w:div>
    <w:div w:id="1627083428">
      <w:bodyDiv w:val="1"/>
      <w:marLeft w:val="0"/>
      <w:marRight w:val="0"/>
      <w:marTop w:val="0"/>
      <w:marBottom w:val="0"/>
      <w:divBdr>
        <w:top w:val="none" w:sz="0" w:space="0" w:color="auto"/>
        <w:left w:val="none" w:sz="0" w:space="0" w:color="auto"/>
        <w:bottom w:val="none" w:sz="0" w:space="0" w:color="auto"/>
        <w:right w:val="none" w:sz="0" w:space="0" w:color="auto"/>
      </w:divBdr>
    </w:div>
    <w:div w:id="1705473716">
      <w:bodyDiv w:val="1"/>
      <w:marLeft w:val="0"/>
      <w:marRight w:val="0"/>
      <w:marTop w:val="0"/>
      <w:marBottom w:val="0"/>
      <w:divBdr>
        <w:top w:val="none" w:sz="0" w:space="0" w:color="auto"/>
        <w:left w:val="none" w:sz="0" w:space="0" w:color="auto"/>
        <w:bottom w:val="none" w:sz="0" w:space="0" w:color="auto"/>
        <w:right w:val="none" w:sz="0" w:space="0" w:color="auto"/>
      </w:divBdr>
    </w:div>
    <w:div w:id="1812675170">
      <w:bodyDiv w:val="1"/>
      <w:marLeft w:val="0"/>
      <w:marRight w:val="0"/>
      <w:marTop w:val="0"/>
      <w:marBottom w:val="0"/>
      <w:divBdr>
        <w:top w:val="none" w:sz="0" w:space="0" w:color="auto"/>
        <w:left w:val="none" w:sz="0" w:space="0" w:color="auto"/>
        <w:bottom w:val="none" w:sz="0" w:space="0" w:color="auto"/>
        <w:right w:val="none" w:sz="0" w:space="0" w:color="auto"/>
      </w:divBdr>
    </w:div>
    <w:div w:id="1849825666">
      <w:bodyDiv w:val="1"/>
      <w:marLeft w:val="0"/>
      <w:marRight w:val="0"/>
      <w:marTop w:val="0"/>
      <w:marBottom w:val="0"/>
      <w:divBdr>
        <w:top w:val="none" w:sz="0" w:space="0" w:color="auto"/>
        <w:left w:val="none" w:sz="0" w:space="0" w:color="auto"/>
        <w:bottom w:val="none" w:sz="0" w:space="0" w:color="auto"/>
        <w:right w:val="none" w:sz="0" w:space="0" w:color="auto"/>
      </w:divBdr>
    </w:div>
    <w:div w:id="1853451773">
      <w:bodyDiv w:val="1"/>
      <w:marLeft w:val="0"/>
      <w:marRight w:val="0"/>
      <w:marTop w:val="0"/>
      <w:marBottom w:val="0"/>
      <w:divBdr>
        <w:top w:val="none" w:sz="0" w:space="0" w:color="auto"/>
        <w:left w:val="none" w:sz="0" w:space="0" w:color="auto"/>
        <w:bottom w:val="none" w:sz="0" w:space="0" w:color="auto"/>
        <w:right w:val="none" w:sz="0" w:space="0" w:color="auto"/>
      </w:divBdr>
    </w:div>
    <w:div w:id="1943220583">
      <w:bodyDiv w:val="1"/>
      <w:marLeft w:val="0"/>
      <w:marRight w:val="0"/>
      <w:marTop w:val="0"/>
      <w:marBottom w:val="0"/>
      <w:divBdr>
        <w:top w:val="none" w:sz="0" w:space="0" w:color="auto"/>
        <w:left w:val="none" w:sz="0" w:space="0" w:color="auto"/>
        <w:bottom w:val="none" w:sz="0" w:space="0" w:color="auto"/>
        <w:right w:val="none" w:sz="0" w:space="0" w:color="auto"/>
      </w:divBdr>
    </w:div>
    <w:div w:id="2067871973">
      <w:bodyDiv w:val="1"/>
      <w:marLeft w:val="0"/>
      <w:marRight w:val="0"/>
      <w:marTop w:val="0"/>
      <w:marBottom w:val="0"/>
      <w:divBdr>
        <w:top w:val="none" w:sz="0" w:space="0" w:color="auto"/>
        <w:left w:val="none" w:sz="0" w:space="0" w:color="auto"/>
        <w:bottom w:val="none" w:sz="0" w:space="0" w:color="auto"/>
        <w:right w:val="none" w:sz="0" w:space="0" w:color="auto"/>
      </w:divBdr>
    </w:div>
    <w:div w:id="2097701509">
      <w:bodyDiv w:val="1"/>
      <w:marLeft w:val="0"/>
      <w:marRight w:val="0"/>
      <w:marTop w:val="0"/>
      <w:marBottom w:val="0"/>
      <w:divBdr>
        <w:top w:val="none" w:sz="0" w:space="0" w:color="auto"/>
        <w:left w:val="none" w:sz="0" w:space="0" w:color="auto"/>
        <w:bottom w:val="none" w:sz="0" w:space="0" w:color="auto"/>
        <w:right w:val="none" w:sz="0" w:space="0" w:color="auto"/>
      </w:divBdr>
    </w:div>
    <w:div w:id="2143645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chart" Target="charts/chart4.xml"/><Relationship Id="rId34" Type="http://schemas.openxmlformats.org/officeDocument/2006/relationships/image" Target="media/image12.jpeg"/><Relationship Id="rId42" Type="http://schemas.openxmlformats.org/officeDocument/2006/relationships/image" Target="media/image19.png"/><Relationship Id="rId47" Type="http://schemas.openxmlformats.org/officeDocument/2006/relationships/image" Target="media/image22.emf"/><Relationship Id="rId50" Type="http://schemas.openxmlformats.org/officeDocument/2006/relationships/image" Target="media/image25.emf"/><Relationship Id="rId55" Type="http://schemas.openxmlformats.org/officeDocument/2006/relationships/image" Target="media/image30.emf"/><Relationship Id="rId63" Type="http://schemas.openxmlformats.org/officeDocument/2006/relationships/image" Target="media/image38.jpeg"/><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0.jpeg"/><Relationship Id="rId11" Type="http://schemas.openxmlformats.org/officeDocument/2006/relationships/endnotes" Target="endnotes.xml"/><Relationship Id="rId24" Type="http://schemas.openxmlformats.org/officeDocument/2006/relationships/chart" Target="charts/chart7.xml"/><Relationship Id="rId32" Type="http://schemas.openxmlformats.org/officeDocument/2006/relationships/footer" Target="footer1.xml"/><Relationship Id="rId37" Type="http://schemas.openxmlformats.org/officeDocument/2006/relationships/image" Target="media/image14.emf"/><Relationship Id="rId40" Type="http://schemas.openxmlformats.org/officeDocument/2006/relationships/image" Target="media/image17.png"/><Relationship Id="rId45" Type="http://schemas.openxmlformats.org/officeDocument/2006/relationships/image" Target="media/image20.emf"/><Relationship Id="rId53" Type="http://schemas.openxmlformats.org/officeDocument/2006/relationships/image" Target="media/image28.emf"/><Relationship Id="rId58" Type="http://schemas.openxmlformats.org/officeDocument/2006/relationships/image" Target="media/image33.emf"/><Relationship Id="rId66" Type="http://schemas.openxmlformats.org/officeDocument/2006/relationships/image" Target="media/image41.emf"/><Relationship Id="rId5" Type="http://schemas.openxmlformats.org/officeDocument/2006/relationships/customXml" Target="../customXml/item5.xml"/><Relationship Id="rId61" Type="http://schemas.openxmlformats.org/officeDocument/2006/relationships/image" Target="media/image36.emf"/><Relationship Id="rId19" Type="http://schemas.openxmlformats.org/officeDocument/2006/relationships/chart" Target="charts/chart3.xml"/><Relationship Id="rId14" Type="http://schemas.openxmlformats.org/officeDocument/2006/relationships/image" Target="media/image3.jpg"/><Relationship Id="rId22" Type="http://schemas.openxmlformats.org/officeDocument/2006/relationships/chart" Target="charts/chart5.xml"/><Relationship Id="rId27" Type="http://schemas.openxmlformats.org/officeDocument/2006/relationships/image" Target="media/image8.jpeg"/><Relationship Id="rId30" Type="http://schemas.openxmlformats.org/officeDocument/2006/relationships/chart" Target="charts/chart9.xml"/><Relationship Id="rId35" Type="http://schemas.openxmlformats.org/officeDocument/2006/relationships/footer" Target="footer3.xml"/><Relationship Id="rId43" Type="http://schemas.openxmlformats.org/officeDocument/2006/relationships/hyperlink" Target="http://www.nctr.usf.edu" TargetMode="External"/><Relationship Id="rId48" Type="http://schemas.openxmlformats.org/officeDocument/2006/relationships/image" Target="media/image23.emf"/><Relationship Id="rId56" Type="http://schemas.openxmlformats.org/officeDocument/2006/relationships/image" Target="media/image31.emf"/><Relationship Id="rId64" Type="http://schemas.openxmlformats.org/officeDocument/2006/relationships/image" Target="media/image39.jpeg"/><Relationship Id="rId8" Type="http://schemas.openxmlformats.org/officeDocument/2006/relationships/settings" Target="settings.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chart" Target="charts/chart2.xml"/><Relationship Id="rId25" Type="http://schemas.openxmlformats.org/officeDocument/2006/relationships/chart" Target="charts/chart8.xml"/><Relationship Id="rId33" Type="http://schemas.openxmlformats.org/officeDocument/2006/relationships/footer" Target="footer2.xml"/><Relationship Id="rId38" Type="http://schemas.openxmlformats.org/officeDocument/2006/relationships/image" Target="media/image15.emf"/><Relationship Id="rId46" Type="http://schemas.openxmlformats.org/officeDocument/2006/relationships/image" Target="media/image21.emf"/><Relationship Id="rId59" Type="http://schemas.openxmlformats.org/officeDocument/2006/relationships/image" Target="media/image34.emf"/><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9.emf"/><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chart" Target="charts/chart6.xml"/><Relationship Id="rId28" Type="http://schemas.openxmlformats.org/officeDocument/2006/relationships/image" Target="media/image9.jpeg"/><Relationship Id="rId36" Type="http://schemas.openxmlformats.org/officeDocument/2006/relationships/image" Target="media/image13.png"/><Relationship Id="rId49" Type="http://schemas.openxmlformats.org/officeDocument/2006/relationships/image" Target="media/image24.emf"/><Relationship Id="rId57" Type="http://schemas.openxmlformats.org/officeDocument/2006/relationships/image" Target="media/image32.emf"/><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footer" Target="footer4.xml"/><Relationship Id="rId52" Type="http://schemas.openxmlformats.org/officeDocument/2006/relationships/image" Target="media/image27.emf"/><Relationship Id="rId60" Type="http://schemas.openxmlformats.org/officeDocument/2006/relationships/image" Target="media/image35.emf"/><Relationship Id="rId65"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9"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6/Shuttle/Ridership%20Logs/Southern%20Loop/Shuttle%20Ridership%2011_23%20forward.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gsharepoint/sites/Transportation/Shared%20Documents/Work%20Program%20-%20Coord%20Trans/FY2017/Shuttle/Final%20Reports/Shuttle%20Stop%20Grand%20Total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Master%20Shutle%20Rid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Shuttle%20Survey%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Shuttle%20Survey%20Data.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Shuttle%20Survey%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Shuttle%20Survey%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http://sgsharepoint/sites/Transportation/Shared%20Documents/Work%20Program%20-%20Coord%20Trans/FY2017/Shuttle/Final%20Reports/Master%20Shutle%20Ride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North and South Daily Rider Totals</a:t>
            </a:r>
          </a:p>
        </c:rich>
      </c:tx>
      <c:layout/>
      <c:overlay val="0"/>
    </c:title>
    <c:autoTitleDeleted val="0"/>
    <c:plotArea>
      <c:layout/>
      <c:lineChart>
        <c:grouping val="standard"/>
        <c:varyColors val="0"/>
        <c:ser>
          <c:idx val="0"/>
          <c:order val="0"/>
          <c:tx>
            <c:v>South</c:v>
          </c:tx>
          <c:marker>
            <c:symbol val="none"/>
          </c:marker>
          <c:cat>
            <c:strRef>
              <c:f>'YTD Totals'!$B$32:$B$243</c:f>
              <c:strCache>
                <c:ptCount val="212"/>
                <c:pt idx="0">
                  <c:v>Oct. 15</c:v>
                </c:pt>
                <c:pt idx="1">
                  <c:v>Oct. 16</c:v>
                </c:pt>
                <c:pt idx="2">
                  <c:v>Oct. 19</c:v>
                </c:pt>
                <c:pt idx="3">
                  <c:v>Oct. 20</c:v>
                </c:pt>
                <c:pt idx="4">
                  <c:v>Oct. 21</c:v>
                </c:pt>
                <c:pt idx="5">
                  <c:v>Oct. 22</c:v>
                </c:pt>
                <c:pt idx="6">
                  <c:v>Oct. 23</c:v>
                </c:pt>
                <c:pt idx="7">
                  <c:v>Oct. 26</c:v>
                </c:pt>
                <c:pt idx="8">
                  <c:v>Oct. 27</c:v>
                </c:pt>
                <c:pt idx="9">
                  <c:v>Oct. 28</c:v>
                </c:pt>
                <c:pt idx="10">
                  <c:v>Oct. 29</c:v>
                </c:pt>
                <c:pt idx="11">
                  <c:v>Oct. 30</c:v>
                </c:pt>
                <c:pt idx="12">
                  <c:v>Nov. 2</c:v>
                </c:pt>
                <c:pt idx="13">
                  <c:v>Nov. 3</c:v>
                </c:pt>
                <c:pt idx="14">
                  <c:v>Nov. 4</c:v>
                </c:pt>
                <c:pt idx="15">
                  <c:v>Nov. 5</c:v>
                </c:pt>
                <c:pt idx="16">
                  <c:v>Nov. 6</c:v>
                </c:pt>
                <c:pt idx="17">
                  <c:v>Nov. 9</c:v>
                </c:pt>
                <c:pt idx="18">
                  <c:v>Nov. 10</c:v>
                </c:pt>
                <c:pt idx="19">
                  <c:v>Nov. 11</c:v>
                </c:pt>
                <c:pt idx="20">
                  <c:v>Nov. 12</c:v>
                </c:pt>
                <c:pt idx="21">
                  <c:v>Nov. 13</c:v>
                </c:pt>
                <c:pt idx="22">
                  <c:v>Nov. 16</c:v>
                </c:pt>
                <c:pt idx="23">
                  <c:v>Nov. 17</c:v>
                </c:pt>
                <c:pt idx="24">
                  <c:v>Nov. 18</c:v>
                </c:pt>
                <c:pt idx="25">
                  <c:v>Nov. 19</c:v>
                </c:pt>
                <c:pt idx="26">
                  <c:v>Nov. 20</c:v>
                </c:pt>
                <c:pt idx="27">
                  <c:v>Nov. 23</c:v>
                </c:pt>
                <c:pt idx="28">
                  <c:v>Nov. 24</c:v>
                </c:pt>
                <c:pt idx="29">
                  <c:v>Nov. 25</c:v>
                </c:pt>
                <c:pt idx="30">
                  <c:v>Nov. 27</c:v>
                </c:pt>
                <c:pt idx="31">
                  <c:v>Nov. 28</c:v>
                </c:pt>
                <c:pt idx="32">
                  <c:v>Nov. 30</c:v>
                </c:pt>
                <c:pt idx="33">
                  <c:v>Dec. 1</c:v>
                </c:pt>
                <c:pt idx="34">
                  <c:v>Dec. 2</c:v>
                </c:pt>
                <c:pt idx="35">
                  <c:v>Dec. 3</c:v>
                </c:pt>
                <c:pt idx="36">
                  <c:v>Dec. 4</c:v>
                </c:pt>
                <c:pt idx="37">
                  <c:v>Dec. 5</c:v>
                </c:pt>
                <c:pt idx="38">
                  <c:v>Dec. 7</c:v>
                </c:pt>
                <c:pt idx="39">
                  <c:v>Dec. 8</c:v>
                </c:pt>
                <c:pt idx="40">
                  <c:v>Dec. 9</c:v>
                </c:pt>
                <c:pt idx="41">
                  <c:v>Dec. 10</c:v>
                </c:pt>
                <c:pt idx="42">
                  <c:v>Dec. 11</c:v>
                </c:pt>
                <c:pt idx="43">
                  <c:v>Dec. 12</c:v>
                </c:pt>
                <c:pt idx="44">
                  <c:v>Dec. 14</c:v>
                </c:pt>
                <c:pt idx="45">
                  <c:v>Dec. 15</c:v>
                </c:pt>
                <c:pt idx="46">
                  <c:v>Dec. 16</c:v>
                </c:pt>
                <c:pt idx="47">
                  <c:v>Dec. 17</c:v>
                </c:pt>
                <c:pt idx="48">
                  <c:v>Dec. 18</c:v>
                </c:pt>
                <c:pt idx="49">
                  <c:v>Dec. 19</c:v>
                </c:pt>
                <c:pt idx="50">
                  <c:v>Dec. 21</c:v>
                </c:pt>
                <c:pt idx="51">
                  <c:v>Dec. 22</c:v>
                </c:pt>
                <c:pt idx="52">
                  <c:v>Dec. 23</c:v>
                </c:pt>
                <c:pt idx="53">
                  <c:v>Dec. 26</c:v>
                </c:pt>
                <c:pt idx="54">
                  <c:v>Dec. 28</c:v>
                </c:pt>
                <c:pt idx="55">
                  <c:v>Dec. 29</c:v>
                </c:pt>
                <c:pt idx="56">
                  <c:v>Dec. 30</c:v>
                </c:pt>
                <c:pt idx="57">
                  <c:v>Dec. 31</c:v>
                </c:pt>
                <c:pt idx="58">
                  <c:v>Jan. 2</c:v>
                </c:pt>
                <c:pt idx="59">
                  <c:v>Jan. 4</c:v>
                </c:pt>
                <c:pt idx="60">
                  <c:v>Jan. 5</c:v>
                </c:pt>
                <c:pt idx="61">
                  <c:v>Jan. 6</c:v>
                </c:pt>
                <c:pt idx="62">
                  <c:v>Jan. 7</c:v>
                </c:pt>
                <c:pt idx="63">
                  <c:v>Jan. 8</c:v>
                </c:pt>
                <c:pt idx="64">
                  <c:v>Jan. 9</c:v>
                </c:pt>
                <c:pt idx="65">
                  <c:v>Jan. 11</c:v>
                </c:pt>
                <c:pt idx="66">
                  <c:v>Jan. 12</c:v>
                </c:pt>
                <c:pt idx="67">
                  <c:v>Jan. 13</c:v>
                </c:pt>
                <c:pt idx="68">
                  <c:v>Jan. 14</c:v>
                </c:pt>
                <c:pt idx="69">
                  <c:v>Jan. 15</c:v>
                </c:pt>
                <c:pt idx="70">
                  <c:v>Jan. 16</c:v>
                </c:pt>
                <c:pt idx="71">
                  <c:v>Jan. 19</c:v>
                </c:pt>
                <c:pt idx="72">
                  <c:v>Jan. 20</c:v>
                </c:pt>
                <c:pt idx="73">
                  <c:v>Jan. 21</c:v>
                </c:pt>
                <c:pt idx="74">
                  <c:v>Jan. 22</c:v>
                </c:pt>
                <c:pt idx="75">
                  <c:v>Jan. 23</c:v>
                </c:pt>
                <c:pt idx="76">
                  <c:v>Jan. 25</c:v>
                </c:pt>
                <c:pt idx="77">
                  <c:v>Jan. 26</c:v>
                </c:pt>
                <c:pt idx="78">
                  <c:v>Jan. 27</c:v>
                </c:pt>
                <c:pt idx="79">
                  <c:v>Jan. 28</c:v>
                </c:pt>
                <c:pt idx="80">
                  <c:v>Jan. 29</c:v>
                </c:pt>
                <c:pt idx="81">
                  <c:v>Jan. 30</c:v>
                </c:pt>
                <c:pt idx="82">
                  <c:v>Feb. 1</c:v>
                </c:pt>
                <c:pt idx="83">
                  <c:v>Feb. 2</c:v>
                </c:pt>
                <c:pt idx="84">
                  <c:v>Feb. 3</c:v>
                </c:pt>
                <c:pt idx="85">
                  <c:v>Feb. 4</c:v>
                </c:pt>
                <c:pt idx="86">
                  <c:v>Feb. 5</c:v>
                </c:pt>
                <c:pt idx="87">
                  <c:v>Feb. 6</c:v>
                </c:pt>
                <c:pt idx="88">
                  <c:v>Feb. 8</c:v>
                </c:pt>
                <c:pt idx="89">
                  <c:v>Feb. 9</c:v>
                </c:pt>
                <c:pt idx="90">
                  <c:v>Feb. 10</c:v>
                </c:pt>
                <c:pt idx="91">
                  <c:v>Feb. 11</c:v>
                </c:pt>
                <c:pt idx="92">
                  <c:v>Feb. 12</c:v>
                </c:pt>
                <c:pt idx="93">
                  <c:v>Feb. 13</c:v>
                </c:pt>
                <c:pt idx="94">
                  <c:v>Feb. 15</c:v>
                </c:pt>
                <c:pt idx="95">
                  <c:v>Feb. 16</c:v>
                </c:pt>
                <c:pt idx="96">
                  <c:v>Feb. 17</c:v>
                </c:pt>
                <c:pt idx="97">
                  <c:v>Feb. 18</c:v>
                </c:pt>
                <c:pt idx="98">
                  <c:v>Feb. 19</c:v>
                </c:pt>
                <c:pt idx="99">
                  <c:v>Feb. 20</c:v>
                </c:pt>
                <c:pt idx="100">
                  <c:v>Feb. 22</c:v>
                </c:pt>
                <c:pt idx="101">
                  <c:v>Feb. 23</c:v>
                </c:pt>
                <c:pt idx="102">
                  <c:v>Feb. 24</c:v>
                </c:pt>
                <c:pt idx="103">
                  <c:v>Feb. 25</c:v>
                </c:pt>
                <c:pt idx="104">
                  <c:v>Feb. 26</c:v>
                </c:pt>
                <c:pt idx="105">
                  <c:v>Feb. 27</c:v>
                </c:pt>
                <c:pt idx="106">
                  <c:v>Feb. 29</c:v>
                </c:pt>
                <c:pt idx="107">
                  <c:v>Mar. 1</c:v>
                </c:pt>
                <c:pt idx="108">
                  <c:v>Mar. 2</c:v>
                </c:pt>
                <c:pt idx="109">
                  <c:v>Mar. 3</c:v>
                </c:pt>
                <c:pt idx="110">
                  <c:v>Mar. 4</c:v>
                </c:pt>
                <c:pt idx="111">
                  <c:v>Mar. 5</c:v>
                </c:pt>
                <c:pt idx="112">
                  <c:v>Mar. 7</c:v>
                </c:pt>
                <c:pt idx="113">
                  <c:v>Mar. 8</c:v>
                </c:pt>
                <c:pt idx="114">
                  <c:v>Mar. 9</c:v>
                </c:pt>
                <c:pt idx="115">
                  <c:v>Mar. 10</c:v>
                </c:pt>
                <c:pt idx="116">
                  <c:v>Mar. 11</c:v>
                </c:pt>
                <c:pt idx="117">
                  <c:v>Mar. 12</c:v>
                </c:pt>
                <c:pt idx="118">
                  <c:v>Mar. 14</c:v>
                </c:pt>
                <c:pt idx="119">
                  <c:v>Mar. 15</c:v>
                </c:pt>
                <c:pt idx="120">
                  <c:v>Mar. 16</c:v>
                </c:pt>
                <c:pt idx="121">
                  <c:v>Mar. 17</c:v>
                </c:pt>
                <c:pt idx="122">
                  <c:v>Mar. 18</c:v>
                </c:pt>
                <c:pt idx="123">
                  <c:v>Mar. 19</c:v>
                </c:pt>
                <c:pt idx="124">
                  <c:v>Mar. 21</c:v>
                </c:pt>
                <c:pt idx="125">
                  <c:v>Mar. 22</c:v>
                </c:pt>
                <c:pt idx="126">
                  <c:v>Mar. 23</c:v>
                </c:pt>
                <c:pt idx="127">
                  <c:v>Mar. 24</c:v>
                </c:pt>
                <c:pt idx="128">
                  <c:v>Mar. 26</c:v>
                </c:pt>
                <c:pt idx="129">
                  <c:v>Mar. 28</c:v>
                </c:pt>
                <c:pt idx="130">
                  <c:v>Mar. 29</c:v>
                </c:pt>
                <c:pt idx="131">
                  <c:v>Mar. 30</c:v>
                </c:pt>
                <c:pt idx="132">
                  <c:v>Mar. 31</c:v>
                </c:pt>
                <c:pt idx="133">
                  <c:v>Apr. 1</c:v>
                </c:pt>
                <c:pt idx="134">
                  <c:v>Apr. 2</c:v>
                </c:pt>
                <c:pt idx="135">
                  <c:v>Apr. 4</c:v>
                </c:pt>
                <c:pt idx="136">
                  <c:v>Apr. 5</c:v>
                </c:pt>
                <c:pt idx="137">
                  <c:v>Apr. 6</c:v>
                </c:pt>
                <c:pt idx="138">
                  <c:v>Apr. 7</c:v>
                </c:pt>
                <c:pt idx="139">
                  <c:v>Apr. 8</c:v>
                </c:pt>
                <c:pt idx="140">
                  <c:v>Apr. 9</c:v>
                </c:pt>
                <c:pt idx="141">
                  <c:v>Apr. 11</c:v>
                </c:pt>
                <c:pt idx="142">
                  <c:v>Apr. 12</c:v>
                </c:pt>
                <c:pt idx="143">
                  <c:v>Apr. 13</c:v>
                </c:pt>
                <c:pt idx="144">
                  <c:v>Apr. 14</c:v>
                </c:pt>
                <c:pt idx="145">
                  <c:v>Apr. 15</c:v>
                </c:pt>
                <c:pt idx="146">
                  <c:v>Apr. 16</c:v>
                </c:pt>
                <c:pt idx="147">
                  <c:v>Apr. 18</c:v>
                </c:pt>
                <c:pt idx="148">
                  <c:v>Apr. 19</c:v>
                </c:pt>
                <c:pt idx="149">
                  <c:v>Apr. 20</c:v>
                </c:pt>
                <c:pt idx="150">
                  <c:v>Apr. 21</c:v>
                </c:pt>
                <c:pt idx="151">
                  <c:v>Apr. 22</c:v>
                </c:pt>
                <c:pt idx="152">
                  <c:v>Apr. 23</c:v>
                </c:pt>
                <c:pt idx="153">
                  <c:v>Apr. 25</c:v>
                </c:pt>
                <c:pt idx="154">
                  <c:v>Apr. 26</c:v>
                </c:pt>
                <c:pt idx="155">
                  <c:v>Apr. 27</c:v>
                </c:pt>
                <c:pt idx="156">
                  <c:v>Apr. 28</c:v>
                </c:pt>
                <c:pt idx="157">
                  <c:v>Apr. 29</c:v>
                </c:pt>
                <c:pt idx="158">
                  <c:v>Apr. 30</c:v>
                </c:pt>
                <c:pt idx="159">
                  <c:v>May. 2</c:v>
                </c:pt>
                <c:pt idx="160">
                  <c:v>May. 3</c:v>
                </c:pt>
                <c:pt idx="161">
                  <c:v>May. 4</c:v>
                </c:pt>
                <c:pt idx="162">
                  <c:v>May. 5</c:v>
                </c:pt>
                <c:pt idx="163">
                  <c:v>May. 6</c:v>
                </c:pt>
                <c:pt idx="164">
                  <c:v>May. 7</c:v>
                </c:pt>
                <c:pt idx="165">
                  <c:v>May. 9</c:v>
                </c:pt>
                <c:pt idx="166">
                  <c:v>May. 10</c:v>
                </c:pt>
                <c:pt idx="167">
                  <c:v>May. 11</c:v>
                </c:pt>
                <c:pt idx="168">
                  <c:v>May. 12</c:v>
                </c:pt>
                <c:pt idx="169">
                  <c:v>May. 13</c:v>
                </c:pt>
                <c:pt idx="170">
                  <c:v>May. 14</c:v>
                </c:pt>
                <c:pt idx="171">
                  <c:v>May. 16</c:v>
                </c:pt>
                <c:pt idx="172">
                  <c:v>May. 17</c:v>
                </c:pt>
                <c:pt idx="173">
                  <c:v>May. 18</c:v>
                </c:pt>
                <c:pt idx="174">
                  <c:v>May. 19</c:v>
                </c:pt>
                <c:pt idx="175">
                  <c:v>May. 20</c:v>
                </c:pt>
                <c:pt idx="176">
                  <c:v>May. 21</c:v>
                </c:pt>
                <c:pt idx="177">
                  <c:v>May. 23</c:v>
                </c:pt>
                <c:pt idx="178">
                  <c:v>May. 24</c:v>
                </c:pt>
                <c:pt idx="179">
                  <c:v>May. 25</c:v>
                </c:pt>
                <c:pt idx="180">
                  <c:v>May. 26</c:v>
                </c:pt>
                <c:pt idx="181">
                  <c:v>May. 27</c:v>
                </c:pt>
                <c:pt idx="182">
                  <c:v>May. 28</c:v>
                </c:pt>
                <c:pt idx="183">
                  <c:v>May. 31</c:v>
                </c:pt>
                <c:pt idx="184">
                  <c:v>Jun. 1</c:v>
                </c:pt>
                <c:pt idx="185">
                  <c:v>Jun. 2</c:v>
                </c:pt>
                <c:pt idx="186">
                  <c:v>Jun. 3</c:v>
                </c:pt>
                <c:pt idx="187">
                  <c:v>Jun. 4</c:v>
                </c:pt>
                <c:pt idx="188">
                  <c:v>Jun. 6</c:v>
                </c:pt>
                <c:pt idx="189">
                  <c:v>Jun. 7</c:v>
                </c:pt>
                <c:pt idx="190">
                  <c:v>Jun. 8</c:v>
                </c:pt>
                <c:pt idx="191">
                  <c:v>Jun. 9</c:v>
                </c:pt>
                <c:pt idx="192">
                  <c:v>Jun. 10</c:v>
                </c:pt>
                <c:pt idx="193">
                  <c:v>Jun. 11</c:v>
                </c:pt>
                <c:pt idx="194">
                  <c:v>Jun. 13</c:v>
                </c:pt>
                <c:pt idx="195">
                  <c:v>Jun. 14</c:v>
                </c:pt>
                <c:pt idx="196">
                  <c:v>Jun. 15</c:v>
                </c:pt>
                <c:pt idx="197">
                  <c:v>Jun. 16</c:v>
                </c:pt>
                <c:pt idx="198">
                  <c:v>Jun. 17</c:v>
                </c:pt>
                <c:pt idx="199">
                  <c:v>Jun. 18</c:v>
                </c:pt>
                <c:pt idx="200">
                  <c:v>Jun. 20</c:v>
                </c:pt>
                <c:pt idx="201">
                  <c:v>Jun. 21</c:v>
                </c:pt>
                <c:pt idx="202">
                  <c:v>Jun. 22</c:v>
                </c:pt>
                <c:pt idx="203">
                  <c:v>Jun. 23</c:v>
                </c:pt>
                <c:pt idx="204">
                  <c:v>Jun. 24</c:v>
                </c:pt>
                <c:pt idx="205">
                  <c:v>Jun. 25</c:v>
                </c:pt>
                <c:pt idx="206">
                  <c:v>Jun. 27</c:v>
                </c:pt>
                <c:pt idx="207">
                  <c:v>Jun. 28</c:v>
                </c:pt>
                <c:pt idx="208">
                  <c:v>Jun. 29</c:v>
                </c:pt>
                <c:pt idx="209">
                  <c:v>Jun. 30</c:v>
                </c:pt>
                <c:pt idx="210">
                  <c:v>Jul. 1</c:v>
                </c:pt>
                <c:pt idx="211">
                  <c:v>Jul. 2</c:v>
                </c:pt>
              </c:strCache>
            </c:strRef>
          </c:cat>
          <c:val>
            <c:numRef>
              <c:f>'YTD Totals'!$C$30:$C$243</c:f>
              <c:numCache>
                <c:formatCode>General</c:formatCode>
                <c:ptCount val="214"/>
                <c:pt idx="0" formatCode="m/d/yyyy">
                  <c:v>0</c:v>
                </c:pt>
                <c:pt idx="1">
                  <c:v>0</c:v>
                </c:pt>
                <c:pt idx="2">
                  <c:v>1</c:v>
                </c:pt>
                <c:pt idx="3">
                  <c:v>1</c:v>
                </c:pt>
                <c:pt idx="4">
                  <c:v>0.1</c:v>
                </c:pt>
                <c:pt idx="5">
                  <c:v>4</c:v>
                </c:pt>
                <c:pt idx="6">
                  <c:v>3</c:v>
                </c:pt>
                <c:pt idx="7">
                  <c:v>5</c:v>
                </c:pt>
                <c:pt idx="8">
                  <c:v>13</c:v>
                </c:pt>
                <c:pt idx="9">
                  <c:v>5</c:v>
                </c:pt>
                <c:pt idx="10">
                  <c:v>10</c:v>
                </c:pt>
                <c:pt idx="11">
                  <c:v>3</c:v>
                </c:pt>
                <c:pt idx="12">
                  <c:v>6</c:v>
                </c:pt>
                <c:pt idx="13">
                  <c:v>7</c:v>
                </c:pt>
                <c:pt idx="14">
                  <c:v>4</c:v>
                </c:pt>
                <c:pt idx="15">
                  <c:v>9</c:v>
                </c:pt>
                <c:pt idx="16">
                  <c:v>5</c:v>
                </c:pt>
                <c:pt idx="17">
                  <c:v>5</c:v>
                </c:pt>
                <c:pt idx="18">
                  <c:v>7</c:v>
                </c:pt>
                <c:pt idx="19">
                  <c:v>8</c:v>
                </c:pt>
                <c:pt idx="20">
                  <c:v>6</c:v>
                </c:pt>
                <c:pt idx="21">
                  <c:v>6</c:v>
                </c:pt>
                <c:pt idx="22">
                  <c:v>10</c:v>
                </c:pt>
                <c:pt idx="23">
                  <c:v>7</c:v>
                </c:pt>
                <c:pt idx="24">
                  <c:v>11</c:v>
                </c:pt>
                <c:pt idx="25">
                  <c:v>15</c:v>
                </c:pt>
                <c:pt idx="26">
                  <c:v>11</c:v>
                </c:pt>
                <c:pt idx="27">
                  <c:v>12</c:v>
                </c:pt>
                <c:pt idx="28">
                  <c:v>9</c:v>
                </c:pt>
                <c:pt idx="29">
                  <c:v>5</c:v>
                </c:pt>
                <c:pt idx="30">
                  <c:v>18</c:v>
                </c:pt>
                <c:pt idx="31">
                  <c:v>12</c:v>
                </c:pt>
                <c:pt idx="32">
                  <c:v>5</c:v>
                </c:pt>
                <c:pt idx="33">
                  <c:v>9</c:v>
                </c:pt>
                <c:pt idx="34">
                  <c:v>15</c:v>
                </c:pt>
                <c:pt idx="35">
                  <c:v>15</c:v>
                </c:pt>
                <c:pt idx="36">
                  <c:v>9</c:v>
                </c:pt>
                <c:pt idx="37">
                  <c:v>6</c:v>
                </c:pt>
                <c:pt idx="38">
                  <c:v>8</c:v>
                </c:pt>
                <c:pt idx="39">
                  <c:v>7</c:v>
                </c:pt>
                <c:pt idx="40">
                  <c:v>12</c:v>
                </c:pt>
                <c:pt idx="41">
                  <c:v>14</c:v>
                </c:pt>
                <c:pt idx="42">
                  <c:v>16</c:v>
                </c:pt>
                <c:pt idx="43">
                  <c:v>17</c:v>
                </c:pt>
                <c:pt idx="44">
                  <c:v>16</c:v>
                </c:pt>
                <c:pt idx="45">
                  <c:v>8</c:v>
                </c:pt>
                <c:pt idx="46">
                  <c:v>14</c:v>
                </c:pt>
                <c:pt idx="47">
                  <c:v>15</c:v>
                </c:pt>
                <c:pt idx="48">
                  <c:v>15</c:v>
                </c:pt>
                <c:pt idx="49">
                  <c:v>11</c:v>
                </c:pt>
                <c:pt idx="50">
                  <c:v>8</c:v>
                </c:pt>
                <c:pt idx="51">
                  <c:v>11</c:v>
                </c:pt>
                <c:pt idx="52">
                  <c:v>18</c:v>
                </c:pt>
                <c:pt idx="53">
                  <c:v>9</c:v>
                </c:pt>
                <c:pt idx="54">
                  <c:v>11</c:v>
                </c:pt>
                <c:pt idx="55">
                  <c:v>10</c:v>
                </c:pt>
                <c:pt idx="56">
                  <c:v>21</c:v>
                </c:pt>
                <c:pt idx="57">
                  <c:v>12</c:v>
                </c:pt>
                <c:pt idx="58">
                  <c:v>7</c:v>
                </c:pt>
                <c:pt idx="59">
                  <c:v>12</c:v>
                </c:pt>
                <c:pt idx="60">
                  <c:v>2</c:v>
                </c:pt>
                <c:pt idx="61">
                  <c:v>10</c:v>
                </c:pt>
                <c:pt idx="62">
                  <c:v>20</c:v>
                </c:pt>
                <c:pt idx="63">
                  <c:v>15</c:v>
                </c:pt>
                <c:pt idx="64">
                  <c:v>12</c:v>
                </c:pt>
                <c:pt idx="65">
                  <c:v>16</c:v>
                </c:pt>
                <c:pt idx="66">
                  <c:v>5</c:v>
                </c:pt>
                <c:pt idx="67">
                  <c:v>14</c:v>
                </c:pt>
                <c:pt idx="68">
                  <c:v>14</c:v>
                </c:pt>
                <c:pt idx="69">
                  <c:v>16</c:v>
                </c:pt>
                <c:pt idx="70">
                  <c:v>17</c:v>
                </c:pt>
                <c:pt idx="71">
                  <c:v>13</c:v>
                </c:pt>
                <c:pt idx="72">
                  <c:v>10</c:v>
                </c:pt>
                <c:pt idx="73">
                  <c:v>16</c:v>
                </c:pt>
                <c:pt idx="74">
                  <c:v>19</c:v>
                </c:pt>
                <c:pt idx="75">
                  <c:v>17</c:v>
                </c:pt>
                <c:pt idx="76">
                  <c:v>13</c:v>
                </c:pt>
                <c:pt idx="77">
                  <c:v>6</c:v>
                </c:pt>
                <c:pt idx="78">
                  <c:v>14</c:v>
                </c:pt>
                <c:pt idx="79">
                  <c:v>16</c:v>
                </c:pt>
                <c:pt idx="80">
                  <c:v>18</c:v>
                </c:pt>
                <c:pt idx="81">
                  <c:v>19</c:v>
                </c:pt>
                <c:pt idx="82">
                  <c:v>16</c:v>
                </c:pt>
                <c:pt idx="83">
                  <c:v>6</c:v>
                </c:pt>
                <c:pt idx="84">
                  <c:v>12</c:v>
                </c:pt>
                <c:pt idx="85">
                  <c:v>23</c:v>
                </c:pt>
                <c:pt idx="86">
                  <c:v>18</c:v>
                </c:pt>
                <c:pt idx="87">
                  <c:v>14</c:v>
                </c:pt>
                <c:pt idx="88">
                  <c:v>21</c:v>
                </c:pt>
                <c:pt idx="89">
                  <c:v>14</c:v>
                </c:pt>
                <c:pt idx="90">
                  <c:v>28</c:v>
                </c:pt>
                <c:pt idx="91">
                  <c:v>16</c:v>
                </c:pt>
                <c:pt idx="92">
                  <c:v>18</c:v>
                </c:pt>
                <c:pt idx="93">
                  <c:v>11</c:v>
                </c:pt>
                <c:pt idx="94">
                  <c:v>20</c:v>
                </c:pt>
                <c:pt idx="95">
                  <c:v>12</c:v>
                </c:pt>
                <c:pt idx="96">
                  <c:v>6</c:v>
                </c:pt>
                <c:pt idx="97">
                  <c:v>11</c:v>
                </c:pt>
                <c:pt idx="98">
                  <c:v>11</c:v>
                </c:pt>
                <c:pt idx="99">
                  <c:v>12</c:v>
                </c:pt>
                <c:pt idx="100">
                  <c:v>16</c:v>
                </c:pt>
                <c:pt idx="101">
                  <c:v>6</c:v>
                </c:pt>
                <c:pt idx="102">
                  <c:v>13</c:v>
                </c:pt>
                <c:pt idx="103">
                  <c:v>12</c:v>
                </c:pt>
                <c:pt idx="104">
                  <c:v>11</c:v>
                </c:pt>
                <c:pt idx="105">
                  <c:v>11</c:v>
                </c:pt>
                <c:pt idx="106">
                  <c:v>22</c:v>
                </c:pt>
                <c:pt idx="107">
                  <c:v>21</c:v>
                </c:pt>
                <c:pt idx="108">
                  <c:v>19</c:v>
                </c:pt>
                <c:pt idx="109">
                  <c:v>14</c:v>
                </c:pt>
                <c:pt idx="110">
                  <c:v>20</c:v>
                </c:pt>
                <c:pt idx="111">
                  <c:v>18</c:v>
                </c:pt>
                <c:pt idx="112">
                  <c:v>13</c:v>
                </c:pt>
                <c:pt idx="113">
                  <c:v>9</c:v>
                </c:pt>
                <c:pt idx="114">
                  <c:v>23</c:v>
                </c:pt>
                <c:pt idx="115">
                  <c:v>24</c:v>
                </c:pt>
                <c:pt idx="116">
                  <c:v>15</c:v>
                </c:pt>
                <c:pt idx="117">
                  <c:v>22</c:v>
                </c:pt>
                <c:pt idx="118">
                  <c:v>12</c:v>
                </c:pt>
                <c:pt idx="119">
                  <c:v>9</c:v>
                </c:pt>
                <c:pt idx="120">
                  <c:v>15</c:v>
                </c:pt>
                <c:pt idx="121">
                  <c:v>8</c:v>
                </c:pt>
                <c:pt idx="122">
                  <c:v>14</c:v>
                </c:pt>
                <c:pt idx="123">
                  <c:v>12</c:v>
                </c:pt>
                <c:pt idx="124">
                  <c:v>22</c:v>
                </c:pt>
                <c:pt idx="125">
                  <c:v>6</c:v>
                </c:pt>
                <c:pt idx="126">
                  <c:v>16</c:v>
                </c:pt>
                <c:pt idx="127">
                  <c:v>10</c:v>
                </c:pt>
                <c:pt idx="128">
                  <c:v>11</c:v>
                </c:pt>
                <c:pt idx="129">
                  <c:v>18</c:v>
                </c:pt>
                <c:pt idx="130">
                  <c:v>7</c:v>
                </c:pt>
                <c:pt idx="131">
                  <c:v>12</c:v>
                </c:pt>
                <c:pt idx="132">
                  <c:v>28</c:v>
                </c:pt>
                <c:pt idx="133">
                  <c:v>26</c:v>
                </c:pt>
                <c:pt idx="134">
                  <c:v>31</c:v>
                </c:pt>
                <c:pt idx="135">
                  <c:v>26</c:v>
                </c:pt>
                <c:pt idx="136">
                  <c:v>8</c:v>
                </c:pt>
                <c:pt idx="137">
                  <c:v>27</c:v>
                </c:pt>
                <c:pt idx="138">
                  <c:v>27</c:v>
                </c:pt>
                <c:pt idx="139">
                  <c:v>22</c:v>
                </c:pt>
                <c:pt idx="140">
                  <c:v>12</c:v>
                </c:pt>
                <c:pt idx="141">
                  <c:v>19</c:v>
                </c:pt>
                <c:pt idx="142">
                  <c:v>11</c:v>
                </c:pt>
                <c:pt idx="143">
                  <c:v>15</c:v>
                </c:pt>
                <c:pt idx="144">
                  <c:v>17</c:v>
                </c:pt>
                <c:pt idx="145">
                  <c:v>21</c:v>
                </c:pt>
                <c:pt idx="146">
                  <c:v>24</c:v>
                </c:pt>
                <c:pt idx="147">
                  <c:v>20</c:v>
                </c:pt>
                <c:pt idx="148">
                  <c:v>19</c:v>
                </c:pt>
                <c:pt idx="149">
                  <c:v>32</c:v>
                </c:pt>
                <c:pt idx="150">
                  <c:v>17</c:v>
                </c:pt>
                <c:pt idx="151">
                  <c:v>30</c:v>
                </c:pt>
                <c:pt idx="152">
                  <c:v>25</c:v>
                </c:pt>
                <c:pt idx="153">
                  <c:v>21</c:v>
                </c:pt>
                <c:pt idx="154">
                  <c:v>15</c:v>
                </c:pt>
                <c:pt idx="155">
                  <c:v>26</c:v>
                </c:pt>
                <c:pt idx="156">
                  <c:v>33</c:v>
                </c:pt>
                <c:pt idx="157">
                  <c:v>31</c:v>
                </c:pt>
                <c:pt idx="158">
                  <c:v>24</c:v>
                </c:pt>
                <c:pt idx="159">
                  <c:v>41</c:v>
                </c:pt>
                <c:pt idx="160">
                  <c:v>13</c:v>
                </c:pt>
                <c:pt idx="161">
                  <c:v>23</c:v>
                </c:pt>
                <c:pt idx="162">
                  <c:v>21</c:v>
                </c:pt>
                <c:pt idx="163">
                  <c:v>17</c:v>
                </c:pt>
                <c:pt idx="164">
                  <c:v>25</c:v>
                </c:pt>
                <c:pt idx="165">
                  <c:v>22</c:v>
                </c:pt>
                <c:pt idx="166">
                  <c:v>15</c:v>
                </c:pt>
                <c:pt idx="167">
                  <c:v>28</c:v>
                </c:pt>
                <c:pt idx="168">
                  <c:v>21</c:v>
                </c:pt>
                <c:pt idx="169">
                  <c:v>20</c:v>
                </c:pt>
                <c:pt idx="170">
                  <c:v>25</c:v>
                </c:pt>
                <c:pt idx="171">
                  <c:v>25</c:v>
                </c:pt>
                <c:pt idx="172">
                  <c:v>10</c:v>
                </c:pt>
                <c:pt idx="173">
                  <c:v>30</c:v>
                </c:pt>
                <c:pt idx="174">
                  <c:v>25</c:v>
                </c:pt>
                <c:pt idx="175">
                  <c:v>14</c:v>
                </c:pt>
                <c:pt idx="176">
                  <c:v>23</c:v>
                </c:pt>
                <c:pt idx="177">
                  <c:v>17</c:v>
                </c:pt>
                <c:pt idx="178">
                  <c:v>9</c:v>
                </c:pt>
                <c:pt idx="179">
                  <c:v>32</c:v>
                </c:pt>
                <c:pt idx="180">
                  <c:v>24</c:v>
                </c:pt>
                <c:pt idx="181">
                  <c:v>33</c:v>
                </c:pt>
                <c:pt idx="182">
                  <c:v>41</c:v>
                </c:pt>
                <c:pt idx="183">
                  <c:v>35</c:v>
                </c:pt>
                <c:pt idx="184">
                  <c:v>18</c:v>
                </c:pt>
                <c:pt idx="185">
                  <c:v>35</c:v>
                </c:pt>
                <c:pt idx="186">
                  <c:v>28</c:v>
                </c:pt>
                <c:pt idx="187">
                  <c:v>26</c:v>
                </c:pt>
                <c:pt idx="188">
                  <c:v>21</c:v>
                </c:pt>
                <c:pt idx="189">
                  <c:v>18</c:v>
                </c:pt>
                <c:pt idx="190">
                  <c:v>23</c:v>
                </c:pt>
                <c:pt idx="191">
                  <c:v>21</c:v>
                </c:pt>
                <c:pt idx="192">
                  <c:v>32</c:v>
                </c:pt>
                <c:pt idx="193">
                  <c:v>34</c:v>
                </c:pt>
                <c:pt idx="194">
                  <c:v>26</c:v>
                </c:pt>
                <c:pt idx="195">
                  <c:v>17</c:v>
                </c:pt>
                <c:pt idx="196">
                  <c:v>31</c:v>
                </c:pt>
                <c:pt idx="197">
                  <c:v>24</c:v>
                </c:pt>
                <c:pt idx="198">
                  <c:v>29</c:v>
                </c:pt>
                <c:pt idx="199">
                  <c:v>22</c:v>
                </c:pt>
                <c:pt idx="200">
                  <c:v>26</c:v>
                </c:pt>
                <c:pt idx="201">
                  <c:v>14</c:v>
                </c:pt>
                <c:pt idx="202">
                  <c:v>25</c:v>
                </c:pt>
                <c:pt idx="203">
                  <c:v>20</c:v>
                </c:pt>
                <c:pt idx="204">
                  <c:v>30</c:v>
                </c:pt>
                <c:pt idx="205">
                  <c:v>33</c:v>
                </c:pt>
                <c:pt idx="206">
                  <c:v>36</c:v>
                </c:pt>
                <c:pt idx="207">
                  <c:v>16</c:v>
                </c:pt>
                <c:pt idx="208">
                  <c:v>31</c:v>
                </c:pt>
                <c:pt idx="209">
                  <c:v>34</c:v>
                </c:pt>
                <c:pt idx="210">
                  <c:v>42</c:v>
                </c:pt>
                <c:pt idx="211">
                  <c:v>32</c:v>
                </c:pt>
                <c:pt idx="212">
                  <c:v>39</c:v>
                </c:pt>
                <c:pt idx="213">
                  <c:v>20</c:v>
                </c:pt>
              </c:numCache>
            </c:numRef>
          </c:val>
          <c:smooth val="0"/>
        </c:ser>
        <c:ser>
          <c:idx val="1"/>
          <c:order val="1"/>
          <c:tx>
            <c:v>North</c:v>
          </c:tx>
          <c:marker>
            <c:symbol val="none"/>
          </c:marker>
          <c:cat>
            <c:strRef>
              <c:f>'YTD Totals'!$B$32:$B$243</c:f>
              <c:strCache>
                <c:ptCount val="212"/>
                <c:pt idx="0">
                  <c:v>Oct. 15</c:v>
                </c:pt>
                <c:pt idx="1">
                  <c:v>Oct. 16</c:v>
                </c:pt>
                <c:pt idx="2">
                  <c:v>Oct. 19</c:v>
                </c:pt>
                <c:pt idx="3">
                  <c:v>Oct. 20</c:v>
                </c:pt>
                <c:pt idx="4">
                  <c:v>Oct. 21</c:v>
                </c:pt>
                <c:pt idx="5">
                  <c:v>Oct. 22</c:v>
                </c:pt>
                <c:pt idx="6">
                  <c:v>Oct. 23</c:v>
                </c:pt>
                <c:pt idx="7">
                  <c:v>Oct. 26</c:v>
                </c:pt>
                <c:pt idx="8">
                  <c:v>Oct. 27</c:v>
                </c:pt>
                <c:pt idx="9">
                  <c:v>Oct. 28</c:v>
                </c:pt>
                <c:pt idx="10">
                  <c:v>Oct. 29</c:v>
                </c:pt>
                <c:pt idx="11">
                  <c:v>Oct. 30</c:v>
                </c:pt>
                <c:pt idx="12">
                  <c:v>Nov. 2</c:v>
                </c:pt>
                <c:pt idx="13">
                  <c:v>Nov. 3</c:v>
                </c:pt>
                <c:pt idx="14">
                  <c:v>Nov. 4</c:v>
                </c:pt>
                <c:pt idx="15">
                  <c:v>Nov. 5</c:v>
                </c:pt>
                <c:pt idx="16">
                  <c:v>Nov. 6</c:v>
                </c:pt>
                <c:pt idx="17">
                  <c:v>Nov. 9</c:v>
                </c:pt>
                <c:pt idx="18">
                  <c:v>Nov. 10</c:v>
                </c:pt>
                <c:pt idx="19">
                  <c:v>Nov. 11</c:v>
                </c:pt>
                <c:pt idx="20">
                  <c:v>Nov. 12</c:v>
                </c:pt>
                <c:pt idx="21">
                  <c:v>Nov. 13</c:v>
                </c:pt>
                <c:pt idx="22">
                  <c:v>Nov. 16</c:v>
                </c:pt>
                <c:pt idx="23">
                  <c:v>Nov. 17</c:v>
                </c:pt>
                <c:pt idx="24">
                  <c:v>Nov. 18</c:v>
                </c:pt>
                <c:pt idx="25">
                  <c:v>Nov. 19</c:v>
                </c:pt>
                <c:pt idx="26">
                  <c:v>Nov. 20</c:v>
                </c:pt>
                <c:pt idx="27">
                  <c:v>Nov. 23</c:v>
                </c:pt>
                <c:pt idx="28">
                  <c:v>Nov. 24</c:v>
                </c:pt>
                <c:pt idx="29">
                  <c:v>Nov. 25</c:v>
                </c:pt>
                <c:pt idx="30">
                  <c:v>Nov. 27</c:v>
                </c:pt>
                <c:pt idx="31">
                  <c:v>Nov. 28</c:v>
                </c:pt>
                <c:pt idx="32">
                  <c:v>Nov. 30</c:v>
                </c:pt>
                <c:pt idx="33">
                  <c:v>Dec. 1</c:v>
                </c:pt>
                <c:pt idx="34">
                  <c:v>Dec. 2</c:v>
                </c:pt>
                <c:pt idx="35">
                  <c:v>Dec. 3</c:v>
                </c:pt>
                <c:pt idx="36">
                  <c:v>Dec. 4</c:v>
                </c:pt>
                <c:pt idx="37">
                  <c:v>Dec. 5</c:v>
                </c:pt>
                <c:pt idx="38">
                  <c:v>Dec. 7</c:v>
                </c:pt>
                <c:pt idx="39">
                  <c:v>Dec. 8</c:v>
                </c:pt>
                <c:pt idx="40">
                  <c:v>Dec. 9</c:v>
                </c:pt>
                <c:pt idx="41">
                  <c:v>Dec. 10</c:v>
                </c:pt>
                <c:pt idx="42">
                  <c:v>Dec. 11</c:v>
                </c:pt>
                <c:pt idx="43">
                  <c:v>Dec. 12</c:v>
                </c:pt>
                <c:pt idx="44">
                  <c:v>Dec. 14</c:v>
                </c:pt>
                <c:pt idx="45">
                  <c:v>Dec. 15</c:v>
                </c:pt>
                <c:pt idx="46">
                  <c:v>Dec. 16</c:v>
                </c:pt>
                <c:pt idx="47">
                  <c:v>Dec. 17</c:v>
                </c:pt>
                <c:pt idx="48">
                  <c:v>Dec. 18</c:v>
                </c:pt>
                <c:pt idx="49">
                  <c:v>Dec. 19</c:v>
                </c:pt>
                <c:pt idx="50">
                  <c:v>Dec. 21</c:v>
                </c:pt>
                <c:pt idx="51">
                  <c:v>Dec. 22</c:v>
                </c:pt>
                <c:pt idx="52">
                  <c:v>Dec. 23</c:v>
                </c:pt>
                <c:pt idx="53">
                  <c:v>Dec. 26</c:v>
                </c:pt>
                <c:pt idx="54">
                  <c:v>Dec. 28</c:v>
                </c:pt>
                <c:pt idx="55">
                  <c:v>Dec. 29</c:v>
                </c:pt>
                <c:pt idx="56">
                  <c:v>Dec. 30</c:v>
                </c:pt>
                <c:pt idx="57">
                  <c:v>Dec. 31</c:v>
                </c:pt>
                <c:pt idx="58">
                  <c:v>Jan. 2</c:v>
                </c:pt>
                <c:pt idx="59">
                  <c:v>Jan. 4</c:v>
                </c:pt>
                <c:pt idx="60">
                  <c:v>Jan. 5</c:v>
                </c:pt>
                <c:pt idx="61">
                  <c:v>Jan. 6</c:v>
                </c:pt>
                <c:pt idx="62">
                  <c:v>Jan. 7</c:v>
                </c:pt>
                <c:pt idx="63">
                  <c:v>Jan. 8</c:v>
                </c:pt>
                <c:pt idx="64">
                  <c:v>Jan. 9</c:v>
                </c:pt>
                <c:pt idx="65">
                  <c:v>Jan. 11</c:v>
                </c:pt>
                <c:pt idx="66">
                  <c:v>Jan. 12</c:v>
                </c:pt>
                <c:pt idx="67">
                  <c:v>Jan. 13</c:v>
                </c:pt>
                <c:pt idx="68">
                  <c:v>Jan. 14</c:v>
                </c:pt>
                <c:pt idx="69">
                  <c:v>Jan. 15</c:v>
                </c:pt>
                <c:pt idx="70">
                  <c:v>Jan. 16</c:v>
                </c:pt>
                <c:pt idx="71">
                  <c:v>Jan. 19</c:v>
                </c:pt>
                <c:pt idx="72">
                  <c:v>Jan. 20</c:v>
                </c:pt>
                <c:pt idx="73">
                  <c:v>Jan. 21</c:v>
                </c:pt>
                <c:pt idx="74">
                  <c:v>Jan. 22</c:v>
                </c:pt>
                <c:pt idx="75">
                  <c:v>Jan. 23</c:v>
                </c:pt>
                <c:pt idx="76">
                  <c:v>Jan. 25</c:v>
                </c:pt>
                <c:pt idx="77">
                  <c:v>Jan. 26</c:v>
                </c:pt>
                <c:pt idx="78">
                  <c:v>Jan. 27</c:v>
                </c:pt>
                <c:pt idx="79">
                  <c:v>Jan. 28</c:v>
                </c:pt>
                <c:pt idx="80">
                  <c:v>Jan. 29</c:v>
                </c:pt>
                <c:pt idx="81">
                  <c:v>Jan. 30</c:v>
                </c:pt>
                <c:pt idx="82">
                  <c:v>Feb. 1</c:v>
                </c:pt>
                <c:pt idx="83">
                  <c:v>Feb. 2</c:v>
                </c:pt>
                <c:pt idx="84">
                  <c:v>Feb. 3</c:v>
                </c:pt>
                <c:pt idx="85">
                  <c:v>Feb. 4</c:v>
                </c:pt>
                <c:pt idx="86">
                  <c:v>Feb. 5</c:v>
                </c:pt>
                <c:pt idx="87">
                  <c:v>Feb. 6</c:v>
                </c:pt>
                <c:pt idx="88">
                  <c:v>Feb. 8</c:v>
                </c:pt>
                <c:pt idx="89">
                  <c:v>Feb. 9</c:v>
                </c:pt>
                <c:pt idx="90">
                  <c:v>Feb. 10</c:v>
                </c:pt>
                <c:pt idx="91">
                  <c:v>Feb. 11</c:v>
                </c:pt>
                <c:pt idx="92">
                  <c:v>Feb. 12</c:v>
                </c:pt>
                <c:pt idx="93">
                  <c:v>Feb. 13</c:v>
                </c:pt>
                <c:pt idx="94">
                  <c:v>Feb. 15</c:v>
                </c:pt>
                <c:pt idx="95">
                  <c:v>Feb. 16</c:v>
                </c:pt>
                <c:pt idx="96">
                  <c:v>Feb. 17</c:v>
                </c:pt>
                <c:pt idx="97">
                  <c:v>Feb. 18</c:v>
                </c:pt>
                <c:pt idx="98">
                  <c:v>Feb. 19</c:v>
                </c:pt>
                <c:pt idx="99">
                  <c:v>Feb. 20</c:v>
                </c:pt>
                <c:pt idx="100">
                  <c:v>Feb. 22</c:v>
                </c:pt>
                <c:pt idx="101">
                  <c:v>Feb. 23</c:v>
                </c:pt>
                <c:pt idx="102">
                  <c:v>Feb. 24</c:v>
                </c:pt>
                <c:pt idx="103">
                  <c:v>Feb. 25</c:v>
                </c:pt>
                <c:pt idx="104">
                  <c:v>Feb. 26</c:v>
                </c:pt>
                <c:pt idx="105">
                  <c:v>Feb. 27</c:v>
                </c:pt>
                <c:pt idx="106">
                  <c:v>Feb. 29</c:v>
                </c:pt>
                <c:pt idx="107">
                  <c:v>Mar. 1</c:v>
                </c:pt>
                <c:pt idx="108">
                  <c:v>Mar. 2</c:v>
                </c:pt>
                <c:pt idx="109">
                  <c:v>Mar. 3</c:v>
                </c:pt>
                <c:pt idx="110">
                  <c:v>Mar. 4</c:v>
                </c:pt>
                <c:pt idx="111">
                  <c:v>Mar. 5</c:v>
                </c:pt>
                <c:pt idx="112">
                  <c:v>Mar. 7</c:v>
                </c:pt>
                <c:pt idx="113">
                  <c:v>Mar. 8</c:v>
                </c:pt>
                <c:pt idx="114">
                  <c:v>Mar. 9</c:v>
                </c:pt>
                <c:pt idx="115">
                  <c:v>Mar. 10</c:v>
                </c:pt>
                <c:pt idx="116">
                  <c:v>Mar. 11</c:v>
                </c:pt>
                <c:pt idx="117">
                  <c:v>Mar. 12</c:v>
                </c:pt>
                <c:pt idx="118">
                  <c:v>Mar. 14</c:v>
                </c:pt>
                <c:pt idx="119">
                  <c:v>Mar. 15</c:v>
                </c:pt>
                <c:pt idx="120">
                  <c:v>Mar. 16</c:v>
                </c:pt>
                <c:pt idx="121">
                  <c:v>Mar. 17</c:v>
                </c:pt>
                <c:pt idx="122">
                  <c:v>Mar. 18</c:v>
                </c:pt>
                <c:pt idx="123">
                  <c:v>Mar. 19</c:v>
                </c:pt>
                <c:pt idx="124">
                  <c:v>Mar. 21</c:v>
                </c:pt>
                <c:pt idx="125">
                  <c:v>Mar. 22</c:v>
                </c:pt>
                <c:pt idx="126">
                  <c:v>Mar. 23</c:v>
                </c:pt>
                <c:pt idx="127">
                  <c:v>Mar. 24</c:v>
                </c:pt>
                <c:pt idx="128">
                  <c:v>Mar. 26</c:v>
                </c:pt>
                <c:pt idx="129">
                  <c:v>Mar. 28</c:v>
                </c:pt>
                <c:pt idx="130">
                  <c:v>Mar. 29</c:v>
                </c:pt>
                <c:pt idx="131">
                  <c:v>Mar. 30</c:v>
                </c:pt>
                <c:pt idx="132">
                  <c:v>Mar. 31</c:v>
                </c:pt>
                <c:pt idx="133">
                  <c:v>Apr. 1</c:v>
                </c:pt>
                <c:pt idx="134">
                  <c:v>Apr. 2</c:v>
                </c:pt>
                <c:pt idx="135">
                  <c:v>Apr. 4</c:v>
                </c:pt>
                <c:pt idx="136">
                  <c:v>Apr. 5</c:v>
                </c:pt>
                <c:pt idx="137">
                  <c:v>Apr. 6</c:v>
                </c:pt>
                <c:pt idx="138">
                  <c:v>Apr. 7</c:v>
                </c:pt>
                <c:pt idx="139">
                  <c:v>Apr. 8</c:v>
                </c:pt>
                <c:pt idx="140">
                  <c:v>Apr. 9</c:v>
                </c:pt>
                <c:pt idx="141">
                  <c:v>Apr. 11</c:v>
                </c:pt>
                <c:pt idx="142">
                  <c:v>Apr. 12</c:v>
                </c:pt>
                <c:pt idx="143">
                  <c:v>Apr. 13</c:v>
                </c:pt>
                <c:pt idx="144">
                  <c:v>Apr. 14</c:v>
                </c:pt>
                <c:pt idx="145">
                  <c:v>Apr. 15</c:v>
                </c:pt>
                <c:pt idx="146">
                  <c:v>Apr. 16</c:v>
                </c:pt>
                <c:pt idx="147">
                  <c:v>Apr. 18</c:v>
                </c:pt>
                <c:pt idx="148">
                  <c:v>Apr. 19</c:v>
                </c:pt>
                <c:pt idx="149">
                  <c:v>Apr. 20</c:v>
                </c:pt>
                <c:pt idx="150">
                  <c:v>Apr. 21</c:v>
                </c:pt>
                <c:pt idx="151">
                  <c:v>Apr. 22</c:v>
                </c:pt>
                <c:pt idx="152">
                  <c:v>Apr. 23</c:v>
                </c:pt>
                <c:pt idx="153">
                  <c:v>Apr. 25</c:v>
                </c:pt>
                <c:pt idx="154">
                  <c:v>Apr. 26</c:v>
                </c:pt>
                <c:pt idx="155">
                  <c:v>Apr. 27</c:v>
                </c:pt>
                <c:pt idx="156">
                  <c:v>Apr. 28</c:v>
                </c:pt>
                <c:pt idx="157">
                  <c:v>Apr. 29</c:v>
                </c:pt>
                <c:pt idx="158">
                  <c:v>Apr. 30</c:v>
                </c:pt>
                <c:pt idx="159">
                  <c:v>May. 2</c:v>
                </c:pt>
                <c:pt idx="160">
                  <c:v>May. 3</c:v>
                </c:pt>
                <c:pt idx="161">
                  <c:v>May. 4</c:v>
                </c:pt>
                <c:pt idx="162">
                  <c:v>May. 5</c:v>
                </c:pt>
                <c:pt idx="163">
                  <c:v>May. 6</c:v>
                </c:pt>
                <c:pt idx="164">
                  <c:v>May. 7</c:v>
                </c:pt>
                <c:pt idx="165">
                  <c:v>May. 9</c:v>
                </c:pt>
                <c:pt idx="166">
                  <c:v>May. 10</c:v>
                </c:pt>
                <c:pt idx="167">
                  <c:v>May. 11</c:v>
                </c:pt>
                <c:pt idx="168">
                  <c:v>May. 12</c:v>
                </c:pt>
                <c:pt idx="169">
                  <c:v>May. 13</c:v>
                </c:pt>
                <c:pt idx="170">
                  <c:v>May. 14</c:v>
                </c:pt>
                <c:pt idx="171">
                  <c:v>May. 16</c:v>
                </c:pt>
                <c:pt idx="172">
                  <c:v>May. 17</c:v>
                </c:pt>
                <c:pt idx="173">
                  <c:v>May. 18</c:v>
                </c:pt>
                <c:pt idx="174">
                  <c:v>May. 19</c:v>
                </c:pt>
                <c:pt idx="175">
                  <c:v>May. 20</c:v>
                </c:pt>
                <c:pt idx="176">
                  <c:v>May. 21</c:v>
                </c:pt>
                <c:pt idx="177">
                  <c:v>May. 23</c:v>
                </c:pt>
                <c:pt idx="178">
                  <c:v>May. 24</c:v>
                </c:pt>
                <c:pt idx="179">
                  <c:v>May. 25</c:v>
                </c:pt>
                <c:pt idx="180">
                  <c:v>May. 26</c:v>
                </c:pt>
                <c:pt idx="181">
                  <c:v>May. 27</c:v>
                </c:pt>
                <c:pt idx="182">
                  <c:v>May. 28</c:v>
                </c:pt>
                <c:pt idx="183">
                  <c:v>May. 31</c:v>
                </c:pt>
                <c:pt idx="184">
                  <c:v>Jun. 1</c:v>
                </c:pt>
                <c:pt idx="185">
                  <c:v>Jun. 2</c:v>
                </c:pt>
                <c:pt idx="186">
                  <c:v>Jun. 3</c:v>
                </c:pt>
                <c:pt idx="187">
                  <c:v>Jun. 4</c:v>
                </c:pt>
                <c:pt idx="188">
                  <c:v>Jun. 6</c:v>
                </c:pt>
                <c:pt idx="189">
                  <c:v>Jun. 7</c:v>
                </c:pt>
                <c:pt idx="190">
                  <c:v>Jun. 8</c:v>
                </c:pt>
                <c:pt idx="191">
                  <c:v>Jun. 9</c:v>
                </c:pt>
                <c:pt idx="192">
                  <c:v>Jun. 10</c:v>
                </c:pt>
                <c:pt idx="193">
                  <c:v>Jun. 11</c:v>
                </c:pt>
                <c:pt idx="194">
                  <c:v>Jun. 13</c:v>
                </c:pt>
                <c:pt idx="195">
                  <c:v>Jun. 14</c:v>
                </c:pt>
                <c:pt idx="196">
                  <c:v>Jun. 15</c:v>
                </c:pt>
                <c:pt idx="197">
                  <c:v>Jun. 16</c:v>
                </c:pt>
                <c:pt idx="198">
                  <c:v>Jun. 17</c:v>
                </c:pt>
                <c:pt idx="199">
                  <c:v>Jun. 18</c:v>
                </c:pt>
                <c:pt idx="200">
                  <c:v>Jun. 20</c:v>
                </c:pt>
                <c:pt idx="201">
                  <c:v>Jun. 21</c:v>
                </c:pt>
                <c:pt idx="202">
                  <c:v>Jun. 22</c:v>
                </c:pt>
                <c:pt idx="203">
                  <c:v>Jun. 23</c:v>
                </c:pt>
                <c:pt idx="204">
                  <c:v>Jun. 24</c:v>
                </c:pt>
                <c:pt idx="205">
                  <c:v>Jun. 25</c:v>
                </c:pt>
                <c:pt idx="206">
                  <c:v>Jun. 27</c:v>
                </c:pt>
                <c:pt idx="207">
                  <c:v>Jun. 28</c:v>
                </c:pt>
                <c:pt idx="208">
                  <c:v>Jun. 29</c:v>
                </c:pt>
                <c:pt idx="209">
                  <c:v>Jun. 30</c:v>
                </c:pt>
                <c:pt idx="210">
                  <c:v>Jul. 1</c:v>
                </c:pt>
                <c:pt idx="211">
                  <c:v>Jul. 2</c:v>
                </c:pt>
              </c:strCache>
            </c:strRef>
          </c:cat>
          <c:val>
            <c:numRef>
              <c:f>'YTD Totals'!$D$30:$D$241</c:f>
              <c:numCache>
                <c:formatCode>General</c:formatCode>
                <c:ptCount val="212"/>
                <c:pt idx="0">
                  <c:v>0</c:v>
                </c:pt>
                <c:pt idx="1">
                  <c:v>0</c:v>
                </c:pt>
                <c:pt idx="120">
                  <c:v>0</c:v>
                </c:pt>
                <c:pt idx="121">
                  <c:v>0</c:v>
                </c:pt>
                <c:pt idx="122">
                  <c:v>1</c:v>
                </c:pt>
                <c:pt idx="123">
                  <c:v>0</c:v>
                </c:pt>
                <c:pt idx="124">
                  <c:v>1</c:v>
                </c:pt>
                <c:pt idx="125">
                  <c:v>1</c:v>
                </c:pt>
                <c:pt idx="126">
                  <c:v>2</c:v>
                </c:pt>
                <c:pt idx="127">
                  <c:v>2</c:v>
                </c:pt>
                <c:pt idx="128">
                  <c:v>1</c:v>
                </c:pt>
                <c:pt idx="129">
                  <c:v>2</c:v>
                </c:pt>
                <c:pt idx="130">
                  <c:v>2</c:v>
                </c:pt>
                <c:pt idx="131">
                  <c:v>2</c:v>
                </c:pt>
                <c:pt idx="132">
                  <c:v>7</c:v>
                </c:pt>
                <c:pt idx="133">
                  <c:v>13</c:v>
                </c:pt>
                <c:pt idx="134">
                  <c:v>26</c:v>
                </c:pt>
                <c:pt idx="135">
                  <c:v>10</c:v>
                </c:pt>
                <c:pt idx="136">
                  <c:v>3</c:v>
                </c:pt>
                <c:pt idx="137">
                  <c:v>6</c:v>
                </c:pt>
                <c:pt idx="138">
                  <c:v>12</c:v>
                </c:pt>
                <c:pt idx="139">
                  <c:v>5</c:v>
                </c:pt>
                <c:pt idx="140">
                  <c:v>7</c:v>
                </c:pt>
                <c:pt idx="141">
                  <c:v>5</c:v>
                </c:pt>
                <c:pt idx="142">
                  <c:v>7</c:v>
                </c:pt>
                <c:pt idx="143">
                  <c:v>6</c:v>
                </c:pt>
                <c:pt idx="144">
                  <c:v>13</c:v>
                </c:pt>
                <c:pt idx="145">
                  <c:v>7</c:v>
                </c:pt>
                <c:pt idx="146">
                  <c:v>8</c:v>
                </c:pt>
                <c:pt idx="147">
                  <c:v>7</c:v>
                </c:pt>
                <c:pt idx="148">
                  <c:v>3</c:v>
                </c:pt>
                <c:pt idx="149">
                  <c:v>8</c:v>
                </c:pt>
                <c:pt idx="150">
                  <c:v>14</c:v>
                </c:pt>
                <c:pt idx="151">
                  <c:v>5</c:v>
                </c:pt>
                <c:pt idx="152">
                  <c:v>12</c:v>
                </c:pt>
                <c:pt idx="153">
                  <c:v>5</c:v>
                </c:pt>
                <c:pt idx="154">
                  <c:v>6</c:v>
                </c:pt>
                <c:pt idx="155">
                  <c:v>7</c:v>
                </c:pt>
                <c:pt idx="156">
                  <c:v>13</c:v>
                </c:pt>
                <c:pt idx="157">
                  <c:v>13</c:v>
                </c:pt>
                <c:pt idx="158">
                  <c:v>12</c:v>
                </c:pt>
                <c:pt idx="159">
                  <c:v>7</c:v>
                </c:pt>
                <c:pt idx="160">
                  <c:v>9</c:v>
                </c:pt>
                <c:pt idx="161">
                  <c:v>5</c:v>
                </c:pt>
                <c:pt idx="162">
                  <c:v>8</c:v>
                </c:pt>
                <c:pt idx="163">
                  <c:v>9</c:v>
                </c:pt>
                <c:pt idx="164">
                  <c:v>7</c:v>
                </c:pt>
                <c:pt idx="165">
                  <c:v>10</c:v>
                </c:pt>
                <c:pt idx="166">
                  <c:v>6</c:v>
                </c:pt>
                <c:pt idx="167">
                  <c:v>13</c:v>
                </c:pt>
                <c:pt idx="168">
                  <c:v>14</c:v>
                </c:pt>
                <c:pt idx="169">
                  <c:v>8</c:v>
                </c:pt>
                <c:pt idx="170">
                  <c:v>7</c:v>
                </c:pt>
                <c:pt idx="171">
                  <c:v>8</c:v>
                </c:pt>
                <c:pt idx="172">
                  <c:v>3</c:v>
                </c:pt>
                <c:pt idx="173">
                  <c:v>7</c:v>
                </c:pt>
                <c:pt idx="174">
                  <c:v>9</c:v>
                </c:pt>
                <c:pt idx="175">
                  <c:v>11</c:v>
                </c:pt>
                <c:pt idx="176">
                  <c:v>9</c:v>
                </c:pt>
                <c:pt idx="177">
                  <c:v>8</c:v>
                </c:pt>
                <c:pt idx="178">
                  <c:v>4</c:v>
                </c:pt>
                <c:pt idx="179">
                  <c:v>16</c:v>
                </c:pt>
                <c:pt idx="180">
                  <c:v>8</c:v>
                </c:pt>
                <c:pt idx="181">
                  <c:v>10</c:v>
                </c:pt>
                <c:pt idx="182">
                  <c:v>13</c:v>
                </c:pt>
                <c:pt idx="183">
                  <c:v>16</c:v>
                </c:pt>
                <c:pt idx="184">
                  <c:v>14</c:v>
                </c:pt>
                <c:pt idx="185">
                  <c:v>15</c:v>
                </c:pt>
                <c:pt idx="186">
                  <c:v>9</c:v>
                </c:pt>
                <c:pt idx="187">
                  <c:v>11</c:v>
                </c:pt>
                <c:pt idx="188">
                  <c:v>12</c:v>
                </c:pt>
                <c:pt idx="189">
                  <c:v>6</c:v>
                </c:pt>
                <c:pt idx="190">
                  <c:v>9</c:v>
                </c:pt>
                <c:pt idx="191">
                  <c:v>12</c:v>
                </c:pt>
                <c:pt idx="192">
                  <c:v>17</c:v>
                </c:pt>
                <c:pt idx="193">
                  <c:v>18</c:v>
                </c:pt>
                <c:pt idx="194">
                  <c:v>11</c:v>
                </c:pt>
                <c:pt idx="195">
                  <c:v>5</c:v>
                </c:pt>
                <c:pt idx="196">
                  <c:v>11</c:v>
                </c:pt>
                <c:pt idx="197">
                  <c:v>11</c:v>
                </c:pt>
                <c:pt idx="198">
                  <c:v>8</c:v>
                </c:pt>
                <c:pt idx="199">
                  <c:v>11</c:v>
                </c:pt>
                <c:pt idx="200">
                  <c:v>8</c:v>
                </c:pt>
                <c:pt idx="201">
                  <c:v>10</c:v>
                </c:pt>
                <c:pt idx="202">
                  <c:v>12</c:v>
                </c:pt>
                <c:pt idx="203">
                  <c:v>10</c:v>
                </c:pt>
                <c:pt idx="204">
                  <c:v>12</c:v>
                </c:pt>
                <c:pt idx="205">
                  <c:v>12</c:v>
                </c:pt>
                <c:pt idx="206">
                  <c:v>18</c:v>
                </c:pt>
                <c:pt idx="207">
                  <c:v>5</c:v>
                </c:pt>
                <c:pt idx="208">
                  <c:v>17</c:v>
                </c:pt>
                <c:pt idx="209">
                  <c:v>17</c:v>
                </c:pt>
                <c:pt idx="210">
                  <c:v>16</c:v>
                </c:pt>
                <c:pt idx="211">
                  <c:v>14</c:v>
                </c:pt>
              </c:numCache>
            </c:numRef>
          </c:val>
          <c:smooth val="0"/>
        </c:ser>
        <c:dLbls>
          <c:showLegendKey val="0"/>
          <c:showVal val="0"/>
          <c:showCatName val="0"/>
          <c:showSerName val="0"/>
          <c:showPercent val="0"/>
          <c:showBubbleSize val="0"/>
        </c:dLbls>
        <c:smooth val="0"/>
        <c:axId val="1148234608"/>
        <c:axId val="1148235152"/>
      </c:lineChart>
      <c:catAx>
        <c:axId val="1148234608"/>
        <c:scaling>
          <c:orientation val="minMax"/>
        </c:scaling>
        <c:delete val="0"/>
        <c:axPos val="b"/>
        <c:numFmt formatCode="General" sourceLinked="0"/>
        <c:majorTickMark val="out"/>
        <c:minorTickMark val="none"/>
        <c:tickLblPos val="nextTo"/>
        <c:crossAx val="1148235152"/>
        <c:crosses val="autoZero"/>
        <c:auto val="1"/>
        <c:lblAlgn val="ctr"/>
        <c:lblOffset val="100"/>
        <c:noMultiLvlLbl val="0"/>
      </c:catAx>
      <c:valAx>
        <c:axId val="1148235152"/>
        <c:scaling>
          <c:orientation val="minMax"/>
        </c:scaling>
        <c:delete val="0"/>
        <c:axPos val="l"/>
        <c:majorGridlines/>
        <c:numFmt formatCode="General" sourceLinked="0"/>
        <c:majorTickMark val="out"/>
        <c:minorTickMark val="none"/>
        <c:tickLblPos val="nextTo"/>
        <c:crossAx val="1148234608"/>
        <c:crosses val="autoZero"/>
        <c:crossBetween val="between"/>
      </c:valAx>
    </c:plotArea>
    <c:legend>
      <c:legendPos val="l"/>
      <c:layout>
        <c:manualLayout>
          <c:xMode val="edge"/>
          <c:yMode val="edge"/>
          <c:x val="0.13231130820035952"/>
          <c:y val="0.23685232259353409"/>
          <c:w val="0.14467699337894777"/>
          <c:h val="0.14006268901426691"/>
        </c:manualLayout>
      </c:layout>
      <c:overlay val="1"/>
      <c:txPr>
        <a:bodyPr/>
        <a:lstStyle/>
        <a:p>
          <a:pPr>
            <a:defRPr sz="1400" b="1"/>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Combined Avgerage Daily Ridership by Month</a:t>
            </a:r>
          </a:p>
        </c:rich>
      </c:tx>
      <c:layout/>
      <c:overlay val="0"/>
    </c:title>
    <c:autoTitleDeleted val="0"/>
    <c:plotArea>
      <c:layout/>
      <c:lineChart>
        <c:grouping val="standard"/>
        <c:varyColors val="0"/>
        <c:ser>
          <c:idx val="0"/>
          <c:order val="0"/>
          <c:spPr>
            <a:ln>
              <a:headEnd type="oval"/>
              <a:tailEnd type="triangle"/>
            </a:ln>
          </c:spPr>
          <c:marker>
            <c:symbol val="none"/>
          </c:marker>
          <c:cat>
            <c:strRef>
              <c:f>'Southern Loop YTD Totals'!$M$71:$M$79</c:f>
              <c:strCache>
                <c:ptCount val="9"/>
                <c:pt idx="0">
                  <c:v>Oct.</c:v>
                </c:pt>
                <c:pt idx="1">
                  <c:v>Nov.</c:v>
                </c:pt>
                <c:pt idx="2">
                  <c:v>Dec</c:v>
                </c:pt>
                <c:pt idx="3">
                  <c:v>Jan</c:v>
                </c:pt>
                <c:pt idx="4">
                  <c:v>Feb</c:v>
                </c:pt>
                <c:pt idx="5">
                  <c:v>Mar</c:v>
                </c:pt>
                <c:pt idx="6">
                  <c:v>Apr</c:v>
                </c:pt>
                <c:pt idx="7">
                  <c:v>May</c:v>
                </c:pt>
                <c:pt idx="8">
                  <c:v>Jun</c:v>
                </c:pt>
              </c:strCache>
            </c:strRef>
          </c:cat>
          <c:val>
            <c:numRef>
              <c:f>'Southern Loop YTD Totals'!$N$71:$N$79</c:f>
              <c:numCache>
                <c:formatCode>0.00</c:formatCode>
                <c:ptCount val="9"/>
                <c:pt idx="0" formatCode="General">
                  <c:v>4.84</c:v>
                </c:pt>
                <c:pt idx="1">
                  <c:v>9</c:v>
                </c:pt>
                <c:pt idx="2">
                  <c:v>12.583333333333334</c:v>
                </c:pt>
                <c:pt idx="3">
                  <c:v>13.5</c:v>
                </c:pt>
                <c:pt idx="4">
                  <c:v>14.944444444444445</c:v>
                </c:pt>
                <c:pt idx="5">
                  <c:v>18.260000000000002</c:v>
                </c:pt>
                <c:pt idx="6">
                  <c:v>29.73</c:v>
                </c:pt>
                <c:pt idx="7">
                  <c:v>33.04</c:v>
                </c:pt>
                <c:pt idx="8">
                  <c:v>37.54</c:v>
                </c:pt>
              </c:numCache>
            </c:numRef>
          </c:val>
          <c:smooth val="1"/>
        </c:ser>
        <c:dLbls>
          <c:showLegendKey val="0"/>
          <c:showVal val="0"/>
          <c:showCatName val="0"/>
          <c:showSerName val="0"/>
          <c:showPercent val="0"/>
          <c:showBubbleSize val="0"/>
        </c:dLbls>
        <c:smooth val="0"/>
        <c:axId val="1148230800"/>
        <c:axId val="1148239504"/>
      </c:lineChart>
      <c:catAx>
        <c:axId val="1148230800"/>
        <c:scaling>
          <c:orientation val="minMax"/>
        </c:scaling>
        <c:delete val="0"/>
        <c:axPos val="b"/>
        <c:numFmt formatCode="General" sourceLinked="0"/>
        <c:majorTickMark val="out"/>
        <c:minorTickMark val="none"/>
        <c:tickLblPos val="nextTo"/>
        <c:crossAx val="1148239504"/>
        <c:crosses val="autoZero"/>
        <c:auto val="1"/>
        <c:lblAlgn val="ctr"/>
        <c:lblOffset val="100"/>
        <c:noMultiLvlLbl val="0"/>
      </c:catAx>
      <c:valAx>
        <c:axId val="1148239504"/>
        <c:scaling>
          <c:orientation val="minMax"/>
        </c:scaling>
        <c:delete val="0"/>
        <c:axPos val="l"/>
        <c:majorGridlines/>
        <c:numFmt formatCode="General" sourceLinked="1"/>
        <c:majorTickMark val="out"/>
        <c:minorTickMark val="none"/>
        <c:tickLblPos val="nextTo"/>
        <c:crossAx val="114823080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Avgerage Daily Ridership</a:t>
            </a:r>
          </a:p>
        </c:rich>
      </c:tx>
      <c:layout>
        <c:manualLayout>
          <c:xMode val="edge"/>
          <c:yMode val="edge"/>
          <c:x val="0.13022922134733159"/>
          <c:y val="3.7037037037037035E-2"/>
        </c:manualLayout>
      </c:layout>
      <c:overlay val="1"/>
    </c:title>
    <c:autoTitleDeleted val="0"/>
    <c:plotArea>
      <c:layout/>
      <c:lineChart>
        <c:grouping val="standard"/>
        <c:varyColors val="0"/>
        <c:ser>
          <c:idx val="0"/>
          <c:order val="0"/>
          <c:spPr>
            <a:ln>
              <a:headEnd type="oval"/>
              <a:tailEnd type="stealth"/>
            </a:ln>
          </c:spPr>
          <c:marker>
            <c:symbol val="none"/>
          </c:marker>
          <c:cat>
            <c:strRef>
              <c:f>'All Info'!$E$380:$E$394</c:f>
              <c:strCache>
                <c:ptCount val="15"/>
                <c:pt idx="0">
                  <c:v>Oct</c:v>
                </c:pt>
                <c:pt idx="1">
                  <c:v>Nov</c:v>
                </c:pt>
                <c:pt idx="2">
                  <c:v>Dec</c:v>
                </c:pt>
                <c:pt idx="3">
                  <c:v>Jan</c:v>
                </c:pt>
                <c:pt idx="4">
                  <c:v>Feb</c:v>
                </c:pt>
                <c:pt idx="5">
                  <c:v>Mar</c:v>
                </c:pt>
                <c:pt idx="6">
                  <c:v>Apr</c:v>
                </c:pt>
                <c:pt idx="7">
                  <c:v>May</c:v>
                </c:pt>
                <c:pt idx="8">
                  <c:v>Jun</c:v>
                </c:pt>
                <c:pt idx="9">
                  <c:v>Jul</c:v>
                </c:pt>
                <c:pt idx="10">
                  <c:v>Aug</c:v>
                </c:pt>
                <c:pt idx="11">
                  <c:v>Sep</c:v>
                </c:pt>
                <c:pt idx="12">
                  <c:v>Oct</c:v>
                </c:pt>
                <c:pt idx="13">
                  <c:v>Nov</c:v>
                </c:pt>
                <c:pt idx="14">
                  <c:v>Dec</c:v>
                </c:pt>
              </c:strCache>
            </c:strRef>
          </c:cat>
          <c:val>
            <c:numRef>
              <c:f>'All Info'!$F$380:$F$394</c:f>
              <c:numCache>
                <c:formatCode>0.00</c:formatCode>
                <c:ptCount val="15"/>
                <c:pt idx="0">
                  <c:v>4.83</c:v>
                </c:pt>
                <c:pt idx="1">
                  <c:v>9.3800000000000008</c:v>
                </c:pt>
                <c:pt idx="2" formatCode="General">
                  <c:v>12.08</c:v>
                </c:pt>
                <c:pt idx="3" formatCode="General">
                  <c:v>13.5</c:v>
                </c:pt>
                <c:pt idx="4" formatCode="General">
                  <c:v>15.12</c:v>
                </c:pt>
                <c:pt idx="5">
                  <c:v>16.97</c:v>
                </c:pt>
                <c:pt idx="6" formatCode="General">
                  <c:v>29.73</c:v>
                </c:pt>
                <c:pt idx="7" formatCode="General">
                  <c:v>33.04</c:v>
                </c:pt>
                <c:pt idx="8" formatCode="General">
                  <c:v>37.43</c:v>
                </c:pt>
                <c:pt idx="9" formatCode="General">
                  <c:v>32.39</c:v>
                </c:pt>
                <c:pt idx="10" formatCode="General">
                  <c:v>41.74</c:v>
                </c:pt>
                <c:pt idx="11" formatCode="General">
                  <c:v>35.21</c:v>
                </c:pt>
                <c:pt idx="12" formatCode="General">
                  <c:v>40.880000000000003</c:v>
                </c:pt>
                <c:pt idx="13" formatCode="General">
                  <c:v>41.67</c:v>
                </c:pt>
                <c:pt idx="14" formatCode="General">
                  <c:v>41.38</c:v>
                </c:pt>
              </c:numCache>
            </c:numRef>
          </c:val>
          <c:smooth val="1"/>
        </c:ser>
        <c:dLbls>
          <c:showLegendKey val="0"/>
          <c:showVal val="0"/>
          <c:showCatName val="0"/>
          <c:showSerName val="0"/>
          <c:showPercent val="0"/>
          <c:showBubbleSize val="0"/>
        </c:dLbls>
        <c:smooth val="0"/>
        <c:axId val="1148228080"/>
        <c:axId val="1148229712"/>
      </c:lineChart>
      <c:catAx>
        <c:axId val="1148228080"/>
        <c:scaling>
          <c:orientation val="minMax"/>
        </c:scaling>
        <c:delete val="0"/>
        <c:axPos val="b"/>
        <c:numFmt formatCode="General" sourceLinked="0"/>
        <c:majorTickMark val="out"/>
        <c:minorTickMark val="none"/>
        <c:tickLblPos val="nextTo"/>
        <c:crossAx val="1148229712"/>
        <c:crosses val="autoZero"/>
        <c:auto val="1"/>
        <c:lblAlgn val="ctr"/>
        <c:lblOffset val="100"/>
        <c:noMultiLvlLbl val="0"/>
      </c:catAx>
      <c:valAx>
        <c:axId val="1148229712"/>
        <c:scaling>
          <c:orientation val="minMax"/>
        </c:scaling>
        <c:delete val="0"/>
        <c:axPos val="l"/>
        <c:majorGridlines/>
        <c:numFmt formatCode="0.00" sourceLinked="1"/>
        <c:majorTickMark val="out"/>
        <c:minorTickMark val="none"/>
        <c:tickLblPos val="nextTo"/>
        <c:crossAx val="114822808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would you rate the Shuttle Stop</a:t>
            </a:r>
            <a:r>
              <a:rPr lang="en-US" baseline="0"/>
              <a:t> </a:t>
            </a:r>
          </a:p>
          <a:p>
            <a:pPr>
              <a:defRPr/>
            </a:pPr>
            <a:r>
              <a:rPr lang="en-US" baseline="0"/>
              <a:t>locations?</a:t>
            </a:r>
            <a:endParaRPr lang="en-US"/>
          </a:p>
        </c:rich>
      </c:tx>
      <c:layout/>
      <c:overlay val="0"/>
    </c:title>
    <c:autoTitleDeleted val="0"/>
    <c:plotArea>
      <c:layout/>
      <c:pieChart>
        <c:varyColors val="1"/>
        <c:ser>
          <c:idx val="0"/>
          <c:order val="0"/>
          <c:dPt>
            <c:idx val="2"/>
            <c:bubble3D val="0"/>
          </c:dPt>
          <c:dLbls>
            <c:dLbl>
              <c:idx val="1"/>
              <c:layout>
                <c:manualLayout>
                  <c:x val="-6.1811728231957581E-2"/>
                  <c:y val="0.12798913830962527"/>
                </c:manualLayout>
              </c:layou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8.5859536014374044E-2"/>
                  <c:y val="-0.16375304855883305"/>
                </c:manualLayout>
              </c:layou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800" b="1"/>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'Survey Data'!$C$8:$E$8</c:f>
              <c:strCache>
                <c:ptCount val="3"/>
                <c:pt idx="0">
                  <c:v>Not Useful</c:v>
                </c:pt>
                <c:pt idx="1">
                  <c:v>Somewhat Useful</c:v>
                </c:pt>
                <c:pt idx="2">
                  <c:v>Extremely Useful</c:v>
                </c:pt>
              </c:strCache>
            </c:strRef>
          </c:cat>
          <c:val>
            <c:numRef>
              <c:f>'Survey Data'!$C$10:$E$10</c:f>
              <c:numCache>
                <c:formatCode>0%</c:formatCode>
                <c:ptCount val="3"/>
                <c:pt idx="1">
                  <c:v>0.14000000000000001</c:v>
                </c:pt>
                <c:pt idx="2">
                  <c:v>0.86</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2026775176592861"/>
          <c:y val="0.29570507076445951"/>
          <c:w val="0.23498951892758371"/>
          <c:h val="0.4762247939346565"/>
        </c:manualLayout>
      </c:layout>
      <c:overlay val="0"/>
      <c:txPr>
        <a:bodyPr/>
        <a:lstStyle/>
        <a:p>
          <a:pPr>
            <a:defRPr sz="1400" b="1"/>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often did</a:t>
            </a:r>
            <a:r>
              <a:rPr lang="en-US" baseline="0"/>
              <a:t> you ride?</a:t>
            </a:r>
          </a:p>
          <a:p>
            <a:pPr>
              <a:defRPr/>
            </a:pPr>
            <a:endParaRPr lang="en-US"/>
          </a:p>
        </c:rich>
      </c:tx>
      <c:layout>
        <c:manualLayout>
          <c:xMode val="edge"/>
          <c:yMode val="edge"/>
          <c:x val="0.28803495714976635"/>
          <c:y val="1.5478941848972828E-3"/>
        </c:manualLayout>
      </c:layout>
      <c:overlay val="1"/>
    </c:title>
    <c:autoTitleDeleted val="0"/>
    <c:plotArea>
      <c:layout>
        <c:manualLayout>
          <c:layoutTarget val="inner"/>
          <c:xMode val="edge"/>
          <c:yMode val="edge"/>
          <c:x val="0.20662015871869227"/>
          <c:y val="0.11097659423041618"/>
          <c:w val="0.54852306305748477"/>
          <c:h val="0.80202445949446355"/>
        </c:manualLayout>
      </c:layout>
      <c:pieChart>
        <c:varyColors val="1"/>
        <c:ser>
          <c:idx val="0"/>
          <c:order val="0"/>
          <c:dPt>
            <c:idx val="0"/>
            <c:bubble3D val="0"/>
          </c:dPt>
          <c:dPt>
            <c:idx val="1"/>
            <c:bubble3D val="0"/>
          </c:dPt>
          <c:dPt>
            <c:idx val="2"/>
            <c:bubble3D val="0"/>
          </c:dPt>
          <c:dLbls>
            <c:dLbl>
              <c:idx val="0"/>
              <c:layout>
                <c:manualLayout>
                  <c:x val="-0.23920450568678917"/>
                  <c:y val="-8.5378390201224855E-3"/>
                </c:manualLayout>
              </c:layout>
              <c:tx>
                <c:rich>
                  <a:bodyPr/>
                  <a:lstStyle/>
                  <a:p>
                    <a:pPr>
                      <a:defRPr sz="1800" b="1"/>
                    </a:pPr>
                    <a:r>
                      <a:rPr lang="en-US" sz="1800" b="1"/>
                      <a:t>Daily 48%</a:t>
                    </a:r>
                    <a:endParaRPr lang="en-US" sz="1800"/>
                  </a:p>
                </c:rich>
              </c:tx>
              <c:spPr/>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9169124440766097"/>
                  <c:y val="-0.17347365834642148"/>
                </c:manualLayout>
              </c:layout>
              <c:tx>
                <c:rich>
                  <a:bodyPr/>
                  <a:lstStyle/>
                  <a:p>
                    <a:r>
                      <a:rPr lang="en-US" sz="1600" b="1"/>
                      <a:t>2-4 Times 38%</a:t>
                    </a:r>
                    <a:endParaRPr lang="en-US" sz="1600"/>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2672315043188409"/>
                  <c:y val="0.16090720900324618"/>
                </c:manualLayout>
              </c:layout>
              <c:tx>
                <c:rich>
                  <a:bodyPr/>
                  <a:lstStyle/>
                  <a:p>
                    <a:pPr>
                      <a:defRPr sz="1600" b="1"/>
                    </a:pPr>
                    <a:r>
                      <a:rPr lang="en-US" sz="1600" b="1"/>
                      <a:t>&lt;5x per Month 14%</a:t>
                    </a:r>
                    <a:endParaRPr lang="en-US" sz="1600"/>
                  </a:p>
                </c:rich>
              </c:tx>
              <c:sp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'Survey Data'!$C$4:$E$4</c:f>
              <c:strCache>
                <c:ptCount val="3"/>
                <c:pt idx="0">
                  <c:v>Daily</c:v>
                </c:pt>
                <c:pt idx="1">
                  <c:v>2-4 Times</c:v>
                </c:pt>
                <c:pt idx="2">
                  <c:v>&lt;5x per Month</c:v>
                </c:pt>
              </c:strCache>
            </c:strRef>
          </c:cat>
          <c:val>
            <c:numRef>
              <c:f>'Survey Data'!$C$6:$E$6</c:f>
              <c:numCache>
                <c:formatCode>0%</c:formatCode>
                <c:ptCount val="3"/>
                <c:pt idx="0">
                  <c:v>0.48</c:v>
                </c:pt>
                <c:pt idx="1">
                  <c:v>0.38</c:v>
                </c:pt>
                <c:pt idx="2">
                  <c:v>0.14000000000000001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1795688653672394"/>
          <c:y val="0.34612511565550708"/>
          <c:w val="0.16892835936491546"/>
          <c:h val="0.3074057494649643"/>
        </c:manualLayout>
      </c:layout>
      <c:overlay val="0"/>
      <c:txPr>
        <a:bodyPr/>
        <a:lstStyle/>
        <a:p>
          <a:pPr>
            <a:defRPr sz="1400" b="1"/>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On-time Percentage</a:t>
            </a:r>
            <a:r>
              <a:rPr lang="en-US" baseline="0"/>
              <a:t> </a:t>
            </a:r>
            <a:r>
              <a:rPr lang="en-US"/>
              <a:t>Rate</a:t>
            </a:r>
          </a:p>
        </c:rich>
      </c:tx>
      <c:layout/>
      <c:overlay val="0"/>
    </c:title>
    <c:autoTitleDeleted val="0"/>
    <c:plotArea>
      <c:layout/>
      <c:lineChart>
        <c:grouping val="standard"/>
        <c:varyColors val="0"/>
        <c:ser>
          <c:idx val="0"/>
          <c:order val="0"/>
          <c:tx>
            <c:strRef>
              <c:f>Sheet1!$B$3</c:f>
              <c:strCache>
                <c:ptCount val="1"/>
                <c:pt idx="0">
                  <c:v>Rate</c:v>
                </c:pt>
              </c:strCache>
            </c:strRef>
          </c:tx>
          <c:spPr>
            <a:ln>
              <a:headEnd type="oval"/>
              <a:tailEnd type="oval"/>
            </a:ln>
          </c:spPr>
          <c:marker>
            <c:symbol val="none"/>
          </c:marker>
          <c:dLbls>
            <c:dLbl>
              <c:idx val="0"/>
              <c:layout>
                <c:manualLayout>
                  <c:x val="-6.9444444444444448E-2"/>
                  <c:y val="3.2407042869641293E-2"/>
                </c:manualLayout>
              </c:layout>
              <c:tx>
                <c:rich>
                  <a:bodyPr/>
                  <a:lstStyle/>
                  <a:p>
                    <a:r>
                      <a:rPr lang="en-US" sz="1100" b="1"/>
                      <a:t>97%</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999999999999997E-2"/>
                  <c:y val="6.4814814814814811E-2"/>
                </c:manualLayout>
              </c:layout>
              <c:tx>
                <c:rich>
                  <a:bodyPr/>
                  <a:lstStyle/>
                  <a:p>
                    <a:r>
                      <a:rPr lang="en-US" sz="1100" b="1"/>
                      <a:t>98%</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555555555555555E-2"/>
                  <c:y val="4.1666666666666664E-2"/>
                </c:manualLayout>
              </c:layout>
              <c:tx>
                <c:rich>
                  <a:bodyPr/>
                  <a:lstStyle/>
                  <a:p>
                    <a:r>
                      <a:rPr lang="en-US" sz="1100" b="1"/>
                      <a:t>92%</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666666666666666E-2"/>
                  <c:y val="2.7777777777777776E-2"/>
                </c:manualLayout>
              </c:layout>
              <c:tx>
                <c:rich>
                  <a:bodyPr/>
                  <a:lstStyle/>
                  <a:p>
                    <a:r>
                      <a:rPr lang="en-US" sz="1100" b="1"/>
                      <a:t>94%</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666666666666664E-2"/>
                  <c:y val="5.0925925925925923E-2"/>
                </c:manualLayout>
              </c:layout>
              <c:tx>
                <c:rich>
                  <a:bodyPr/>
                  <a:lstStyle/>
                  <a:p>
                    <a:r>
                      <a:rPr lang="en-US" sz="1100" b="1"/>
                      <a:t>96%</a:t>
                    </a:r>
                    <a:endParaRPr lang="en-US"/>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1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Sheet1!$C$1:$G$2</c:f>
              <c:strCache>
                <c:ptCount val="5"/>
                <c:pt idx="0">
                  <c:v>August</c:v>
                </c:pt>
                <c:pt idx="1">
                  <c:v>September</c:v>
                </c:pt>
                <c:pt idx="2">
                  <c:v>October</c:v>
                </c:pt>
                <c:pt idx="3">
                  <c:v>November</c:v>
                </c:pt>
                <c:pt idx="4">
                  <c:v>December</c:v>
                </c:pt>
              </c:strCache>
            </c:strRef>
          </c:cat>
          <c:val>
            <c:numRef>
              <c:f>Sheet1!$C$3:$G$3</c:f>
              <c:numCache>
                <c:formatCode>General</c:formatCode>
                <c:ptCount val="5"/>
                <c:pt idx="0">
                  <c:v>96.868191721132902</c:v>
                </c:pt>
                <c:pt idx="1">
                  <c:v>98.024691358024697</c:v>
                </c:pt>
                <c:pt idx="2">
                  <c:v>91.681059297639607</c:v>
                </c:pt>
                <c:pt idx="3">
                  <c:v>93.888888888888886</c:v>
                </c:pt>
                <c:pt idx="4">
                  <c:v>96.327160493827165</c:v>
                </c:pt>
              </c:numCache>
            </c:numRef>
          </c:val>
          <c:smooth val="1"/>
        </c:ser>
        <c:dLbls>
          <c:showLegendKey val="0"/>
          <c:showVal val="0"/>
          <c:showCatName val="0"/>
          <c:showSerName val="0"/>
          <c:showPercent val="0"/>
          <c:showBubbleSize val="0"/>
        </c:dLbls>
        <c:hiLowLines/>
        <c:smooth val="0"/>
        <c:axId val="1241376352"/>
        <c:axId val="1241379072"/>
      </c:lineChart>
      <c:catAx>
        <c:axId val="1241376352"/>
        <c:scaling>
          <c:orientation val="minMax"/>
        </c:scaling>
        <c:delete val="0"/>
        <c:axPos val="b"/>
        <c:title>
          <c:tx>
            <c:rich>
              <a:bodyPr/>
              <a:lstStyle/>
              <a:p>
                <a:pPr>
                  <a:defRPr/>
                </a:pPr>
                <a:r>
                  <a:rPr lang="en-US"/>
                  <a:t>Month</a:t>
                </a:r>
              </a:p>
            </c:rich>
          </c:tx>
          <c:layout/>
          <c:overlay val="0"/>
        </c:title>
        <c:numFmt formatCode="General" sourceLinked="0"/>
        <c:majorTickMark val="none"/>
        <c:minorTickMark val="none"/>
        <c:tickLblPos val="nextTo"/>
        <c:crossAx val="1241379072"/>
        <c:crosses val="autoZero"/>
        <c:auto val="1"/>
        <c:lblAlgn val="ctr"/>
        <c:lblOffset val="100"/>
        <c:noMultiLvlLbl val="0"/>
      </c:catAx>
      <c:valAx>
        <c:axId val="1241379072"/>
        <c:scaling>
          <c:orientation val="minMax"/>
          <c:max val="99"/>
          <c:min val="88"/>
        </c:scaling>
        <c:delete val="0"/>
        <c:axPos val="l"/>
        <c:majorGridlines/>
        <c:title>
          <c:tx>
            <c:rich>
              <a:bodyPr/>
              <a:lstStyle/>
              <a:p>
                <a:pPr>
                  <a:defRPr/>
                </a:pPr>
                <a:r>
                  <a:rPr lang="en-US"/>
                  <a:t>Percent</a:t>
                </a:r>
              </a:p>
            </c:rich>
          </c:tx>
          <c:layout/>
          <c:overlay val="0"/>
        </c:title>
        <c:numFmt formatCode="General" sourceLinked="1"/>
        <c:majorTickMark val="out"/>
        <c:minorTickMark val="none"/>
        <c:tickLblPos val="nextTo"/>
        <c:crossAx val="1241376352"/>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400"/>
            </a:pPr>
            <a:r>
              <a:rPr lang="en-US" sz="2400"/>
              <a:t>Purpose for</a:t>
            </a:r>
            <a:r>
              <a:rPr lang="en-US" sz="2400" baseline="0"/>
              <a:t> Riding?</a:t>
            </a:r>
            <a:endParaRPr lang="en-US" sz="2400"/>
          </a:p>
        </c:rich>
      </c:tx>
      <c:layout>
        <c:manualLayout>
          <c:xMode val="edge"/>
          <c:yMode val="edge"/>
          <c:x val="0.22538004751878202"/>
          <c:y val="2.0407579586036423E-2"/>
        </c:manualLayout>
      </c:layout>
      <c:overlay val="0"/>
    </c:title>
    <c:autoTitleDeleted val="0"/>
    <c:plotArea>
      <c:layout>
        <c:manualLayout>
          <c:layoutTarget val="inner"/>
          <c:xMode val="edge"/>
          <c:yMode val="edge"/>
          <c:x val="9.7927204463680445E-2"/>
          <c:y val="0.14700806375106726"/>
          <c:w val="0.65972435798466367"/>
          <c:h val="0.98523973895624306"/>
        </c:manualLayout>
      </c:layout>
      <c:pieChart>
        <c:varyColors val="1"/>
        <c:ser>
          <c:idx val="0"/>
          <c:order val="0"/>
          <c:dPt>
            <c:idx val="4"/>
            <c:bubble3D val="0"/>
          </c:dPt>
          <c:dLbls>
            <c:dLbl>
              <c:idx val="0"/>
              <c:layout>
                <c:manualLayout>
                  <c:x val="-0.20149665060437782"/>
                  <c:y val="0.12724275568551896"/>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4465383773803103"/>
                  <c:y val="-0.1458199694577933"/>
                </c:manualLayout>
              </c:layou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3.8247466595664546E-2"/>
                  <c:y val="-0.10348435010726199"/>
                </c:manualLayout>
              </c:layout>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18840651747995549"/>
                  <c:y val="-5.3904775023009111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12691535830376313"/>
                  <c:y val="0.12464115563301464"/>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400"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'Survey Data'!$C$24:$G$24</c:f>
              <c:strCache>
                <c:ptCount val="5"/>
                <c:pt idx="0">
                  <c:v>To Work</c:v>
                </c:pt>
                <c:pt idx="1">
                  <c:v>Job Search</c:v>
                </c:pt>
                <c:pt idx="2">
                  <c:v>Education</c:v>
                </c:pt>
                <c:pt idx="3">
                  <c:v>Shopping</c:v>
                </c:pt>
                <c:pt idx="4">
                  <c:v>Medical</c:v>
                </c:pt>
              </c:strCache>
            </c:strRef>
          </c:cat>
          <c:val>
            <c:numRef>
              <c:f>'Survey Data'!$C$26:$G$26</c:f>
              <c:numCache>
                <c:formatCode>0%</c:formatCode>
                <c:ptCount val="5"/>
                <c:pt idx="0">
                  <c:v>0.30769230769230771</c:v>
                </c:pt>
                <c:pt idx="1">
                  <c:v>0.16346153846153846</c:v>
                </c:pt>
                <c:pt idx="2">
                  <c:v>9.6153846153846159E-2</c:v>
                </c:pt>
                <c:pt idx="3">
                  <c:v>0.27884615384615385</c:v>
                </c:pt>
                <c:pt idx="4">
                  <c:v>0.15384615384615385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2054144721975975"/>
          <c:y val="0.27059845367430335"/>
          <c:w val="0.13310093688620048"/>
          <c:h val="0.44418613034816429"/>
        </c:manualLayout>
      </c:layout>
      <c:overlay val="0"/>
      <c:txPr>
        <a:bodyPr/>
        <a:lstStyle/>
        <a:p>
          <a:pPr>
            <a:defRPr sz="1050" b="1"/>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400"/>
            </a:pPr>
            <a:r>
              <a:rPr lang="en-US" sz="2400"/>
              <a:t>How much would you pay per</a:t>
            </a:r>
            <a:r>
              <a:rPr lang="en-US" sz="2400" baseline="0"/>
              <a:t> trip?</a:t>
            </a:r>
            <a:endParaRPr lang="en-US" sz="2400"/>
          </a:p>
        </c:rich>
      </c:tx>
      <c:layout>
        <c:manualLayout>
          <c:xMode val="edge"/>
          <c:yMode val="edge"/>
          <c:x val="0.15307988283536578"/>
          <c:y val="1.9905006091138867E-2"/>
        </c:manualLayout>
      </c:layout>
      <c:overlay val="1"/>
    </c:title>
    <c:autoTitleDeleted val="0"/>
    <c:plotArea>
      <c:layout>
        <c:manualLayout>
          <c:layoutTarget val="inner"/>
          <c:xMode val="edge"/>
          <c:yMode val="edge"/>
          <c:x val="0.13677337061839231"/>
          <c:y val="0.14882575392361669"/>
          <c:w val="0.67257143377873319"/>
          <c:h val="0.80679408566337008"/>
        </c:manualLayout>
      </c:layout>
      <c:pieChart>
        <c:varyColors val="1"/>
        <c:ser>
          <c:idx val="0"/>
          <c:order val="0"/>
          <c:dPt>
            <c:idx val="0"/>
            <c:bubble3D val="0"/>
          </c:dPt>
          <c:dPt>
            <c:idx val="1"/>
            <c:bubble3D val="0"/>
          </c:dPt>
          <c:dPt>
            <c:idx val="2"/>
            <c:bubble3D val="0"/>
          </c:dPt>
          <c:dPt>
            <c:idx val="3"/>
            <c:bubble3D val="0"/>
          </c:dPt>
          <c:dLbls>
            <c:dLbl>
              <c:idx val="0"/>
              <c:layout>
                <c:manualLayout>
                  <c:x val="-0.19867708966561021"/>
                  <c:y val="9.6809742599962417E-2"/>
                </c:manualLayout>
              </c:layout>
              <c:tx>
                <c:rich>
                  <a:bodyPr/>
                  <a:lstStyle/>
                  <a:p>
                    <a:r>
                      <a:rPr lang="en-US" sz="1600"/>
                      <a:t>$1  </a:t>
                    </a:r>
                  </a:p>
                  <a:p>
                    <a:r>
                      <a:rPr lang="en-US" sz="1600"/>
                      <a:t>31%</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2834785619876196"/>
                  <c:y val="-0.13408919329769245"/>
                </c:manualLayout>
              </c:layout>
              <c:tx>
                <c:rich>
                  <a:bodyPr/>
                  <a:lstStyle/>
                  <a:p>
                    <a:r>
                      <a:rPr lang="en-US" sz="1600"/>
                      <a:t>$2 </a:t>
                    </a:r>
                  </a:p>
                  <a:p>
                    <a:r>
                      <a:rPr lang="en-US" sz="1600"/>
                      <a:t>10%</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6.770555401523784E-2"/>
                  <c:y val="-0.118980520217961"/>
                </c:manualLayout>
              </c:layout>
              <c:tx>
                <c:rich>
                  <a:bodyPr/>
                  <a:lstStyle/>
                  <a:p>
                    <a:r>
                      <a:rPr lang="en-US" sz="1600"/>
                      <a:t>$3</a:t>
                    </a:r>
                  </a:p>
                  <a:p>
                    <a:r>
                      <a:rPr lang="en-US" sz="1600"/>
                      <a:t>8%</a:t>
                    </a:r>
                    <a:endParaRPr lang="en-US"/>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0.23455771180220872"/>
                  <c:y val="-3.3103652219006713E-2"/>
                </c:manualLayout>
              </c:layou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1600" b="1"/>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'Survey Data'!$C$20:$F$20</c:f>
              <c:strCache>
                <c:ptCount val="4"/>
                <c:pt idx="0">
                  <c:v>$1 </c:v>
                </c:pt>
                <c:pt idx="1">
                  <c:v>$2 </c:v>
                </c:pt>
                <c:pt idx="2">
                  <c:v>$3 </c:v>
                </c:pt>
                <c:pt idx="3">
                  <c:v>Monthly Pass</c:v>
                </c:pt>
              </c:strCache>
            </c:strRef>
          </c:cat>
          <c:val>
            <c:numRef>
              <c:f>'Survey Data'!$C$22:$F$22</c:f>
              <c:numCache>
                <c:formatCode>0%</c:formatCode>
                <c:ptCount val="4"/>
                <c:pt idx="0">
                  <c:v>0.31372549019607843</c:v>
                </c:pt>
                <c:pt idx="1">
                  <c:v>9.8039215686274508E-2</c:v>
                </c:pt>
                <c:pt idx="2">
                  <c:v>7.8431372549019607E-2</c:v>
                </c:pt>
                <c:pt idx="3">
                  <c:v>0.50980392156862742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389933034071676"/>
          <c:y val="0.32539911082543255"/>
          <c:w val="0.14854563740280127"/>
          <c:h val="0.34920177834913491"/>
        </c:manualLayout>
      </c:layout>
      <c:overlay val="0"/>
      <c:txPr>
        <a:bodyPr/>
        <a:lstStyle/>
        <a:p>
          <a:pPr>
            <a:defRPr sz="1100" b="1"/>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Alternative</a:t>
            </a:r>
            <a:r>
              <a:rPr lang="en-US" baseline="0"/>
              <a:t> Modes in the Absense of Transit</a:t>
            </a:r>
            <a:endParaRPr lang="en-US"/>
          </a:p>
        </c:rich>
      </c:tx>
      <c:layout/>
      <c:overlay val="0"/>
    </c:title>
    <c:autoTitleDeleted val="0"/>
    <c:plotArea>
      <c:layout/>
      <c:pieChart>
        <c:varyColors val="1"/>
        <c:ser>
          <c:idx val="0"/>
          <c:order val="0"/>
          <c:dLbls>
            <c:dLbl>
              <c:idx val="0"/>
              <c:layout>
                <c:manualLayout>
                  <c:x val="-0.14062070136155821"/>
                  <c:y val="0.20494899604153871"/>
                </c:manualLayout>
              </c:layou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txPr>
              <a:bodyPr/>
              <a:lstStyle/>
              <a:p>
                <a:pPr>
                  <a:defRPr sz="1400" b="1"/>
                </a:pPr>
                <a:endParaRPr lang="en-US"/>
              </a:p>
            </c:txPr>
            <c:showLegendKey val="0"/>
            <c:showVal val="0"/>
            <c:showCatName val="1"/>
            <c:showSerName val="0"/>
            <c:showPercent val="1"/>
            <c:showBubbleSize val="0"/>
            <c:showLeaderLines val="1"/>
            <c:extLst>
              <c:ext xmlns:c15="http://schemas.microsoft.com/office/drawing/2012/chart" uri="{CE6537A1-D6FC-4f65-9D91-7224C49458BB}">
                <c15:layout/>
              </c:ext>
            </c:extLst>
          </c:dLbls>
          <c:cat>
            <c:strRef>
              <c:f>Sheet1!$M$7:$R$7</c:f>
              <c:strCache>
                <c:ptCount val="6"/>
                <c:pt idx="0">
                  <c:v>Not Make Trip</c:v>
                </c:pt>
                <c:pt idx="1">
                  <c:v>Car</c:v>
                </c:pt>
                <c:pt idx="2">
                  <c:v>Ride with someone</c:v>
                </c:pt>
                <c:pt idx="3">
                  <c:v>Taxi</c:v>
                </c:pt>
                <c:pt idx="4">
                  <c:v>Bicycle</c:v>
                </c:pt>
                <c:pt idx="5">
                  <c:v>Walk</c:v>
                </c:pt>
              </c:strCache>
            </c:strRef>
          </c:cat>
          <c:val>
            <c:numRef>
              <c:f>Sheet1!$M$8:$R$8</c:f>
              <c:numCache>
                <c:formatCode>0.00%</c:formatCode>
                <c:ptCount val="6"/>
                <c:pt idx="0">
                  <c:v>0.215</c:v>
                </c:pt>
                <c:pt idx="1">
                  <c:v>0.128</c:v>
                </c:pt>
                <c:pt idx="2">
                  <c:v>0.22800000000000001</c:v>
                </c:pt>
                <c:pt idx="3">
                  <c:v>0.11700000000000001</c:v>
                </c:pt>
                <c:pt idx="4">
                  <c:v>4.4999999999999998E-2</c:v>
                </c:pt>
                <c:pt idx="5">
                  <c:v>0.26700000000000002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0.6002</cdr:x>
      <cdr:y>0.61061</cdr:y>
    </cdr:from>
    <cdr:to>
      <cdr:x>0.67631</cdr:x>
      <cdr:y>0.68786</cdr:y>
    </cdr:to>
    <cdr:sp macro="" textlink="">
      <cdr:nvSpPr>
        <cdr:cNvPr id="2" name="Up Arrow 1"/>
        <cdr:cNvSpPr/>
      </cdr:nvSpPr>
      <cdr:spPr>
        <a:xfrm xmlns:a="http://schemas.openxmlformats.org/drawingml/2006/main" rot="18523131">
          <a:off x="3583102" y="1939372"/>
          <a:ext cx="257071" cy="442604"/>
        </a:xfrm>
        <a:prstGeom xmlns:a="http://schemas.openxmlformats.org/drawingml/2006/main" prst="upArrow">
          <a:avLst/>
        </a:prstGeom>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2017-04-05T00:00:00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87C4E598966164AB0D68A5841552FF0" ma:contentTypeVersion="0" ma:contentTypeDescription="Create a new document." ma:contentTypeScope="" ma:versionID="13f94e9f22b59474ab0572f5fa85230c">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1C9B8C2-1C7B-4DCA-8A03-C8D27D235D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4825F4-8D08-4F0A-9598-E19FE11E38C7}">
  <ds:schemaRefs>
    <ds:schemaRef ds:uri="http://schemas.microsoft.com/sharepoint/v3/contenttype/forms"/>
  </ds:schemaRefs>
</ds:datastoreItem>
</file>

<file path=customXml/itemProps4.xml><?xml version="1.0" encoding="utf-8"?>
<ds:datastoreItem xmlns:ds="http://schemas.openxmlformats.org/officeDocument/2006/customXml" ds:itemID="{FEEEFAE6-844D-48CC-A0A3-93913836839E}">
  <ds:schemaRefs>
    <ds:schemaRef ds:uri="http://purl.org/dc/dcmitype/"/>
    <ds:schemaRef ds:uri="http://purl.org/dc/elements/1.1/"/>
    <ds:schemaRef ds:uri="http://schemas.microsoft.com/office/2006/metadata/properties"/>
    <ds:schemaRef ds:uri="http://www.w3.org/XML/1998/namespace"/>
    <ds:schemaRef ds:uri="http://schemas.microsoft.com/office/2006/documentManagement/types"/>
    <ds:schemaRef ds:uri="http://purl.org/dc/term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4235E16B-ABBC-4886-8A89-4117F30D8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TotalTime>
  <Pages>52</Pages>
  <Words>8835</Words>
  <Characters>50363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Valdosta Transit Implementation</vt:lpstr>
    </vt:vector>
  </TitlesOfParts>
  <Company>Microsoft</Company>
  <LinksUpToDate>false</LinksUpToDate>
  <CharactersWithSpaces>59080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Valdosta Urbanized Area Transit Implementation</dc:title>
  <dc:creator>Southern Georgia Regional Commission Valdosta-Lowndes MPO</dc:creator>
  <cp:lastModifiedBy>John Dillard</cp:lastModifiedBy>
  <cp:revision>46</cp:revision>
  <dcterms:created xsi:type="dcterms:W3CDTF">2017-02-08T20:29:00Z</dcterms:created>
  <dcterms:modified xsi:type="dcterms:W3CDTF">2017-04-07T13:56:00Z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0x010100987C4E598966164AB0D68A5841552FF0</vt:lpwstr>
  </property>
</Properties>
</file>